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64D7" w14:textId="43435BC7" w:rsidR="00CC0DD2" w:rsidRPr="002003DD" w:rsidRDefault="00CC0DD2" w:rsidP="00CC0DD2">
      <w:pPr>
        <w:tabs>
          <w:tab w:val="center" w:pos="4536"/>
          <w:tab w:val="right" w:pos="7938"/>
          <w:tab w:val="right" w:pos="9639"/>
        </w:tabs>
        <w:ind w:right="2"/>
        <w:rPr>
          <w:rFonts w:ascii="Arial" w:hAnsi="Arial" w:cs="Arial"/>
          <w:b/>
          <w:bCs/>
          <w:lang w:val="en-US"/>
        </w:rPr>
      </w:pPr>
      <w:r w:rsidRPr="00A450CB">
        <w:rPr>
          <w:rFonts w:ascii="Arial" w:hAnsi="Arial" w:cs="Arial"/>
          <w:b/>
          <w:bCs/>
        </w:rPr>
        <w:t>3GPP TSG RAN WG1 #106-e</w:t>
      </w:r>
      <w:r w:rsidRPr="00A450CB">
        <w:rPr>
          <w:rFonts w:ascii="Arial" w:hAnsi="Arial" w:cs="Arial"/>
          <w:b/>
          <w:bCs/>
        </w:rPr>
        <w:tab/>
      </w:r>
      <w:r w:rsidRPr="00A450CB">
        <w:rPr>
          <w:rFonts w:ascii="Arial" w:hAnsi="Arial" w:cs="Arial"/>
          <w:b/>
          <w:bCs/>
        </w:rPr>
        <w:tab/>
      </w:r>
      <w:r w:rsidRPr="00A450CB">
        <w:rPr>
          <w:rFonts w:ascii="Arial" w:hAnsi="Arial" w:cs="Arial"/>
          <w:b/>
          <w:bCs/>
        </w:rPr>
        <w:tab/>
        <w:t>R1-210</w:t>
      </w:r>
      <w:r w:rsidR="002003DD">
        <w:rPr>
          <w:rFonts w:ascii="Arial" w:hAnsi="Arial" w:cs="Arial"/>
          <w:b/>
          <w:bCs/>
          <w:lang w:val="en-US"/>
        </w:rPr>
        <w:t>7765</w:t>
      </w:r>
    </w:p>
    <w:p w14:paraId="30C84A26" w14:textId="77777777" w:rsidR="00CC0DD2" w:rsidRPr="00A450CB" w:rsidRDefault="00CC0DD2" w:rsidP="00CC0DD2">
      <w:pPr>
        <w:tabs>
          <w:tab w:val="left" w:pos="1985"/>
        </w:tabs>
        <w:jc w:val="both"/>
        <w:rPr>
          <w:rFonts w:ascii="Arial" w:eastAsia="MS Mincho" w:hAnsi="Arial" w:cs="Arial"/>
          <w:b/>
          <w:bCs/>
          <w:lang w:eastAsia="ja-JP"/>
        </w:rPr>
      </w:pPr>
      <w:r w:rsidRPr="00A450CB">
        <w:rPr>
          <w:rFonts w:ascii="Arial" w:eastAsia="MS Mincho" w:hAnsi="Arial" w:cs="Arial"/>
          <w:b/>
          <w:bCs/>
          <w:lang w:eastAsia="ja-JP"/>
        </w:rPr>
        <w:t>e-Meeting, August 16</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xml:space="preserve"> – 27</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62FC1ED"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BA5F16" w:rsidRPr="00BA5F16">
        <w:rPr>
          <w:rFonts w:ascii="Arial" w:hAnsi="Arial" w:cs="Arial"/>
          <w:b/>
          <w:lang w:val="en-US"/>
        </w:rPr>
        <w:t>Discussion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27C21BD5"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2412FD">
        <w:rPr>
          <w:rFonts w:eastAsia="MS Mincho"/>
          <w:sz w:val="20"/>
          <w:szCs w:val="20"/>
          <w:lang w:val="en-US" w:eastAsia="ja-JP"/>
        </w:rPr>
        <w:t>5</w:t>
      </w:r>
      <w:r w:rsidR="003512F3">
        <w:rPr>
          <w:rFonts w:eastAsia="MS Mincho"/>
          <w:sz w:val="20"/>
          <w:szCs w:val="20"/>
          <w:lang w:val="en-US" w:eastAsia="ja-JP"/>
        </w:rPr>
        <w:t>-e meeting [</w:t>
      </w:r>
      <w:r w:rsidR="002412FD">
        <w:rPr>
          <w:rFonts w:eastAsia="MS Mincho"/>
          <w:sz w:val="20"/>
          <w:szCs w:val="20"/>
          <w:lang w:val="en-US" w:eastAsia="ja-JP"/>
        </w:rPr>
        <w:t>5</w:t>
      </w:r>
      <w:r w:rsidR="003512F3">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41375C">
        <w:rPr>
          <w:rFonts w:eastAsia="MS Mincho"/>
          <w:sz w:val="20"/>
          <w:szCs w:val="20"/>
          <w:lang w:val="en-US" w:eastAsia="ja-JP"/>
        </w:rPr>
        <w:t>aspects of the IDLE/INACTIVE UE receiv</w:t>
      </w:r>
      <w:r w:rsidR="00BE1CF9">
        <w:rPr>
          <w:rFonts w:eastAsia="MS Mincho"/>
          <w:sz w:val="20"/>
          <w:szCs w:val="20"/>
          <w:lang w:val="en-US" w:eastAsia="ja-JP"/>
        </w:rPr>
        <w:t>ing</w:t>
      </w:r>
      <w:r w:rsidR="0041375C">
        <w:rPr>
          <w:rFonts w:eastAsia="MS Mincho"/>
          <w:sz w:val="20"/>
          <w:szCs w:val="20"/>
          <w:lang w:val="en-US" w:eastAsia="ja-JP"/>
        </w:rPr>
        <w:t xml:space="preserve"> </w:t>
      </w:r>
      <w:r w:rsidR="00FA1586">
        <w:rPr>
          <w:rFonts w:eastAsia="MS Mincho"/>
          <w:sz w:val="20"/>
          <w:szCs w:val="20"/>
          <w:lang w:val="en-US"/>
        </w:rPr>
        <w:t>MBS</w:t>
      </w:r>
      <w:r w:rsidR="0041375C">
        <w:rPr>
          <w:rFonts w:eastAsia="MS Mincho"/>
          <w:sz w:val="20"/>
          <w:szCs w:val="20"/>
          <w:lang w:val="en-US"/>
        </w:rPr>
        <w:t xml:space="preserve"> service</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409548" w14:textId="4D2FB527" w:rsidR="004C7581" w:rsidRDefault="004C7581" w:rsidP="000C074D">
      <w:pPr>
        <w:spacing w:before="120" w:after="120"/>
        <w:rPr>
          <w:b/>
          <w:bCs/>
          <w:color w:val="000000"/>
          <w:sz w:val="20"/>
          <w:szCs w:val="20"/>
          <w:u w:val="single"/>
          <w:lang w:val="en-US"/>
        </w:rPr>
      </w:pPr>
      <w:proofErr w:type="spellStart"/>
      <w:r>
        <w:rPr>
          <w:b/>
          <w:bCs/>
          <w:color w:val="000000"/>
          <w:sz w:val="20"/>
          <w:szCs w:val="20"/>
          <w:u w:val="single"/>
          <w:lang w:val="en-US"/>
        </w:rPr>
        <w:t>RedCap</w:t>
      </w:r>
      <w:proofErr w:type="spellEnd"/>
      <w:r>
        <w:rPr>
          <w:b/>
          <w:bCs/>
          <w:color w:val="000000"/>
          <w:sz w:val="20"/>
          <w:szCs w:val="20"/>
          <w:u w:val="single"/>
          <w:lang w:val="en-US"/>
        </w:rPr>
        <w:t xml:space="preserve"> </w:t>
      </w:r>
      <w:r w:rsidR="00BA0A8A">
        <w:rPr>
          <w:b/>
          <w:bCs/>
          <w:color w:val="000000"/>
          <w:sz w:val="20"/>
          <w:szCs w:val="20"/>
          <w:u w:val="single"/>
          <w:lang w:val="en-US"/>
        </w:rPr>
        <w:t>device</w:t>
      </w:r>
      <w:r>
        <w:rPr>
          <w:b/>
          <w:bCs/>
          <w:color w:val="000000"/>
          <w:sz w:val="20"/>
          <w:szCs w:val="20"/>
          <w:u w:val="single"/>
          <w:lang w:val="en-US"/>
        </w:rPr>
        <w:t xml:space="preserve"> supporting MBS</w:t>
      </w:r>
    </w:p>
    <w:p w14:paraId="5C63020E" w14:textId="06E0E4F7" w:rsidR="004C7581" w:rsidRDefault="0060167F" w:rsidP="004C7581">
      <w:pPr>
        <w:spacing w:after="120"/>
        <w:rPr>
          <w:rFonts w:eastAsia="MS Mincho"/>
          <w:sz w:val="20"/>
          <w:szCs w:val="20"/>
          <w:lang w:val="en-US" w:eastAsia="ja-JP"/>
        </w:rPr>
      </w:pPr>
      <w:proofErr w:type="spellStart"/>
      <w:r>
        <w:rPr>
          <w:rFonts w:eastAsia="MS Mincho"/>
          <w:sz w:val="20"/>
          <w:szCs w:val="20"/>
          <w:lang w:val="en-US" w:eastAsia="ja-JP"/>
        </w:rPr>
        <w:t>RedCap</w:t>
      </w:r>
      <w:proofErr w:type="spellEnd"/>
      <w:r>
        <w:rPr>
          <w:rFonts w:eastAsia="MS Mincho"/>
          <w:sz w:val="20"/>
          <w:szCs w:val="20"/>
          <w:lang w:val="en-US" w:eastAsia="ja-JP"/>
        </w:rPr>
        <w:t xml:space="preserve"> device</w:t>
      </w:r>
      <w:r w:rsidR="004C7581">
        <w:rPr>
          <w:rFonts w:eastAsia="MS Mincho"/>
          <w:sz w:val="20"/>
          <w:szCs w:val="20"/>
          <w:lang w:val="en-US" w:eastAsia="ja-JP"/>
        </w:rPr>
        <w:t xml:space="preserve"> was discussed in Rel.17 WI</w:t>
      </w:r>
      <w:r>
        <w:rPr>
          <w:rFonts w:eastAsia="MS Mincho"/>
          <w:sz w:val="20"/>
          <w:szCs w:val="20"/>
          <w:lang w:val="en-US" w:eastAsia="ja-JP"/>
        </w:rPr>
        <w:t xml:space="preserve"> </w:t>
      </w:r>
      <w:r w:rsidRPr="0060167F">
        <w:rPr>
          <w:rFonts w:eastAsia="MS Mincho"/>
          <w:bCs/>
          <w:sz w:val="20"/>
          <w:szCs w:val="20"/>
          <w:lang w:val="en-GB" w:eastAsia="ja-JP"/>
        </w:rPr>
        <w:t>reduced capability NR devices</w:t>
      </w:r>
      <w:r w:rsidRPr="0060167F">
        <w:rPr>
          <w:rFonts w:eastAsia="MS Mincho"/>
          <w:sz w:val="20"/>
          <w:szCs w:val="20"/>
          <w:lang w:val="en-US" w:eastAsia="ja-JP"/>
        </w:rPr>
        <w:t xml:space="preserve"> </w:t>
      </w:r>
      <w:r>
        <w:rPr>
          <w:rFonts w:eastAsia="MS Mincho"/>
          <w:sz w:val="20"/>
          <w:szCs w:val="20"/>
          <w:lang w:val="en-US" w:eastAsia="ja-JP"/>
        </w:rPr>
        <w:t>[</w:t>
      </w:r>
      <w:r w:rsidR="00C5330E">
        <w:rPr>
          <w:rFonts w:eastAsia="MS Mincho"/>
          <w:sz w:val="20"/>
          <w:szCs w:val="20"/>
          <w:lang w:val="en-US" w:eastAsia="ja-JP"/>
        </w:rPr>
        <w:t>3</w:t>
      </w:r>
      <w:r>
        <w:rPr>
          <w:rFonts w:eastAsia="MS Mincho"/>
          <w:sz w:val="20"/>
          <w:szCs w:val="20"/>
          <w:lang w:val="en-US" w:eastAsia="ja-JP"/>
        </w:rPr>
        <w:t xml:space="preserve">]. </w:t>
      </w:r>
      <w:r w:rsidR="004C7581">
        <w:rPr>
          <w:rFonts w:eastAsia="MS Mincho"/>
          <w:sz w:val="20"/>
          <w:szCs w:val="20"/>
          <w:lang w:val="en-US" w:eastAsia="ja-JP"/>
        </w:rPr>
        <w:t xml:space="preserve"> </w:t>
      </w:r>
      <w:r>
        <w:rPr>
          <w:rFonts w:eastAsia="MS Mincho"/>
          <w:sz w:val="20"/>
          <w:szCs w:val="20"/>
          <w:lang w:val="en-US" w:eastAsia="ja-JP"/>
        </w:rPr>
        <w:t>One of use cases is the wearable device.</w:t>
      </w:r>
    </w:p>
    <w:p w14:paraId="5B2D0B46" w14:textId="632D9647" w:rsidR="0060167F" w:rsidRDefault="0060167F" w:rsidP="0060167F">
      <w:pPr>
        <w:numPr>
          <w:ilvl w:val="0"/>
          <w:numId w:val="26"/>
        </w:numPr>
        <w:spacing w:before="120" w:after="120"/>
        <w:rPr>
          <w:rFonts w:eastAsia="MS Mincho"/>
          <w:sz w:val="20"/>
          <w:szCs w:val="20"/>
          <w:lang w:val="en-GB" w:eastAsia="ja-JP"/>
        </w:rPr>
      </w:pPr>
      <w:r w:rsidRPr="0060167F">
        <w:rPr>
          <w:rFonts w:eastAsia="MS Mincho"/>
          <w:sz w:val="20"/>
          <w:szCs w:val="20"/>
          <w:lang w:val="en-GB" w:eastAsia="ja-JP"/>
        </w:rPr>
        <w:t>wearables use case includes smart watches, eHealth related devices, personal protection equipment (PPE), and medical monitoring devices for use in public safety applications, etc. One characteristic for the use case is that the device is small in size.</w:t>
      </w:r>
    </w:p>
    <w:p w14:paraId="4783A07E" w14:textId="77C25B23" w:rsidR="0060167F" w:rsidRDefault="0060167F" w:rsidP="0060167F">
      <w:pPr>
        <w:spacing w:before="120" w:after="120"/>
        <w:rPr>
          <w:rFonts w:eastAsia="MS Mincho"/>
          <w:iCs/>
          <w:sz w:val="20"/>
          <w:szCs w:val="20"/>
          <w:lang w:val="en-US" w:eastAsia="ja-JP"/>
        </w:rPr>
      </w:pP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device</w:t>
      </w:r>
      <w:r>
        <w:rPr>
          <w:rFonts w:eastAsia="MS Mincho"/>
          <w:iCs/>
          <w:sz w:val="20"/>
          <w:szCs w:val="20"/>
          <w:lang w:val="en-US" w:eastAsia="ja-JP"/>
        </w:rPr>
        <w:t>s</w:t>
      </w:r>
      <w:r w:rsidRPr="0060167F">
        <w:rPr>
          <w:rFonts w:eastAsia="MS Mincho"/>
          <w:iCs/>
          <w:sz w:val="20"/>
          <w:szCs w:val="20"/>
          <w:lang w:val="en-US" w:eastAsia="ja-JP"/>
        </w:rPr>
        <w:t xml:space="preserve"> </w:t>
      </w:r>
      <w:r>
        <w:rPr>
          <w:rFonts w:eastAsia="MS Mincho"/>
          <w:iCs/>
          <w:sz w:val="20"/>
          <w:szCs w:val="20"/>
          <w:lang w:val="en-US" w:eastAsia="ja-JP"/>
        </w:rPr>
        <w:t xml:space="preserve">support following UE </w:t>
      </w:r>
      <w:r w:rsidRPr="0060167F">
        <w:rPr>
          <w:rFonts w:eastAsia="MS Mincho"/>
          <w:iCs/>
          <w:sz w:val="20"/>
          <w:szCs w:val="20"/>
          <w:lang w:val="en-US" w:eastAsia="ja-JP"/>
        </w:rPr>
        <w:t>complexity reduction features</w:t>
      </w:r>
      <w:r w:rsidR="00923EDC">
        <w:rPr>
          <w:rFonts w:eastAsia="MS Mincho"/>
          <w:iCs/>
          <w:sz w:val="20"/>
          <w:szCs w:val="20"/>
          <w:lang w:val="en-US" w:eastAsia="ja-JP"/>
        </w:rPr>
        <w:t xml:space="preserve">. </w:t>
      </w:r>
      <w:r w:rsidR="00C5330E">
        <w:rPr>
          <w:rFonts w:eastAsia="MS Mincho"/>
          <w:iCs/>
          <w:sz w:val="20"/>
          <w:szCs w:val="20"/>
          <w:lang w:val="en-US" w:eastAsia="ja-JP"/>
        </w:rPr>
        <w:t>[3</w:t>
      </w:r>
      <w:r w:rsidR="00923EDC">
        <w:rPr>
          <w:rFonts w:eastAsia="MS Mincho"/>
          <w:iCs/>
          <w:sz w:val="20"/>
          <w:szCs w:val="20"/>
          <w:lang w:val="en-US" w:eastAsia="ja-JP"/>
        </w:rPr>
        <w:t>]</w:t>
      </w:r>
    </w:p>
    <w:p w14:paraId="1C3E2DD3"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Reduced maximum UE bandwidth:</w:t>
      </w:r>
    </w:p>
    <w:p w14:paraId="1870C37C"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Maximum bandwidth of an FR1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during and after initial access is 20 </w:t>
      </w:r>
      <w:proofErr w:type="spellStart"/>
      <w:r w:rsidRPr="0060167F">
        <w:rPr>
          <w:rFonts w:eastAsia="MS Mincho"/>
          <w:bCs/>
          <w:iCs/>
          <w:sz w:val="20"/>
          <w:szCs w:val="20"/>
          <w:lang w:val="en-US" w:eastAsia="ja-JP"/>
        </w:rPr>
        <w:t>MHz.</w:t>
      </w:r>
      <w:proofErr w:type="spellEnd"/>
      <w:r w:rsidRPr="0060167F">
        <w:rPr>
          <w:rFonts w:eastAsia="MS Mincho"/>
          <w:bCs/>
          <w:iCs/>
          <w:sz w:val="20"/>
          <w:szCs w:val="20"/>
          <w:lang w:val="en-US" w:eastAsia="ja-JP"/>
        </w:rPr>
        <w:t xml:space="preserve"> .</w:t>
      </w:r>
    </w:p>
    <w:p w14:paraId="390818A1"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Maximum bandwidth of an FR2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during and after initial access is 100 </w:t>
      </w:r>
      <w:proofErr w:type="spellStart"/>
      <w:r w:rsidRPr="0060167F">
        <w:rPr>
          <w:rFonts w:eastAsia="MS Mincho"/>
          <w:bCs/>
          <w:iCs/>
          <w:sz w:val="20"/>
          <w:szCs w:val="20"/>
          <w:lang w:val="en-US" w:eastAsia="ja-JP"/>
        </w:rPr>
        <w:t>MHz.</w:t>
      </w:r>
      <w:proofErr w:type="spellEnd"/>
    </w:p>
    <w:p w14:paraId="06A5B541" w14:textId="77777777" w:rsidR="0060167F" w:rsidRPr="0060167F" w:rsidRDefault="0060167F" w:rsidP="0060167F">
      <w:pPr>
        <w:numPr>
          <w:ilvl w:val="1"/>
          <w:numId w:val="28"/>
        </w:numPr>
        <w:spacing w:before="120" w:after="120"/>
        <w:rPr>
          <w:rFonts w:eastAsia="MS Mincho"/>
          <w:b/>
          <w:iCs/>
          <w:sz w:val="20"/>
          <w:szCs w:val="20"/>
          <w:lang w:val="en-US" w:eastAsia="ja-JP"/>
        </w:rPr>
      </w:pPr>
      <w:r w:rsidRPr="0060167F">
        <w:rPr>
          <w:rFonts w:eastAsia="MS Mincho"/>
          <w:iCs/>
          <w:sz w:val="20"/>
          <w:szCs w:val="20"/>
          <w:lang w:val="en-US" w:eastAsia="ja-JP"/>
        </w:rPr>
        <w:t>Reduced minimum number of Rx branches:</w:t>
      </w:r>
    </w:p>
    <w:p w14:paraId="1E272D25" w14:textId="77777777" w:rsidR="0060167F" w:rsidRPr="0060167F" w:rsidRDefault="0060167F" w:rsidP="0060167F">
      <w:pPr>
        <w:numPr>
          <w:ilvl w:val="2"/>
          <w:numId w:val="28"/>
        </w:numPr>
        <w:spacing w:before="120" w:after="120"/>
        <w:rPr>
          <w:rFonts w:eastAsia="MS Mincho"/>
          <w:b/>
          <w:iCs/>
          <w:sz w:val="20"/>
          <w:szCs w:val="20"/>
          <w:lang w:val="en-US" w:eastAsia="ja-JP"/>
        </w:rPr>
      </w:pPr>
      <w:r w:rsidRPr="0060167F">
        <w:rPr>
          <w:rFonts w:eastAsia="MS Mincho"/>
          <w:iCs/>
          <w:sz w:val="20"/>
          <w:szCs w:val="20"/>
          <w:lang w:val="en-US" w:eastAsia="ja-JP"/>
        </w:rPr>
        <w:lastRenderedPageBreak/>
        <w:t xml:space="preserve">For frequency bands where a legacy NR UE is required to be equipped with a minimum of 2 Rx antenna ports, the minimum number of Rx branches supported by specification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is 1. The specification also supports 2 Rx branches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in these bands.</w:t>
      </w:r>
    </w:p>
    <w:p w14:paraId="5FFBB690" w14:textId="77777777" w:rsidR="0060167F" w:rsidRPr="0060167F" w:rsidRDefault="0060167F" w:rsidP="0060167F">
      <w:pPr>
        <w:numPr>
          <w:ilvl w:val="2"/>
          <w:numId w:val="28"/>
        </w:numPr>
        <w:spacing w:before="120" w:after="120"/>
        <w:rPr>
          <w:rFonts w:eastAsia="MS Mincho"/>
          <w:iCs/>
          <w:sz w:val="20"/>
          <w:szCs w:val="20"/>
          <w:lang w:val="en-US" w:eastAsia="ja-JP"/>
        </w:rPr>
      </w:pPr>
      <w:bookmarkStart w:id="2" w:name="_Hlk58502022"/>
      <w:r w:rsidRPr="0060167F">
        <w:rPr>
          <w:rFonts w:eastAsia="MS Mincho"/>
          <w:iCs/>
          <w:sz w:val="20"/>
          <w:szCs w:val="20"/>
          <w:lang w:val="en-US" w:eastAsia="ja-JP"/>
        </w:rPr>
        <w:t xml:space="preserve">For frequency bands where a legacy NR UE (other than 2-Rx vehicular UE) is required to be equipped with a minimum of 4 Rx </w:t>
      </w:r>
      <w:bookmarkEnd w:id="2"/>
      <w:r w:rsidRPr="0060167F">
        <w:rPr>
          <w:rFonts w:eastAsia="MS Mincho"/>
          <w:iCs/>
          <w:sz w:val="20"/>
          <w:szCs w:val="20"/>
          <w:lang w:val="en-US" w:eastAsia="ja-JP"/>
        </w:rPr>
        <w:t xml:space="preserve">antenna ports, the minimum number of Rx </w:t>
      </w:r>
      <w:bookmarkStart w:id="3" w:name="_Hlk58574559"/>
      <w:r w:rsidRPr="0060167F">
        <w:rPr>
          <w:rFonts w:eastAsia="MS Mincho"/>
          <w:iCs/>
          <w:sz w:val="20"/>
          <w:szCs w:val="20"/>
          <w:lang w:val="en-US" w:eastAsia="ja-JP"/>
        </w:rPr>
        <w:t xml:space="preserve">branches </w:t>
      </w:r>
      <w:bookmarkEnd w:id="3"/>
      <w:r w:rsidRPr="0060167F">
        <w:rPr>
          <w:rFonts w:eastAsia="MS Mincho"/>
          <w:iCs/>
          <w:sz w:val="20"/>
          <w:szCs w:val="20"/>
          <w:lang w:val="en-US" w:eastAsia="ja-JP"/>
        </w:rPr>
        <w:t xml:space="preserve">supported by specification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is 1. The specification also supports 2 Rx branches for a </w:t>
      </w:r>
      <w:proofErr w:type="spellStart"/>
      <w:r w:rsidRPr="0060167F">
        <w:rPr>
          <w:rFonts w:eastAsia="MS Mincho"/>
          <w:iCs/>
          <w:sz w:val="20"/>
          <w:szCs w:val="20"/>
          <w:lang w:val="en-US" w:eastAsia="ja-JP"/>
        </w:rPr>
        <w:t>RedCap</w:t>
      </w:r>
      <w:proofErr w:type="spellEnd"/>
      <w:r w:rsidRPr="0060167F">
        <w:rPr>
          <w:rFonts w:eastAsia="MS Mincho"/>
          <w:iCs/>
          <w:sz w:val="20"/>
          <w:szCs w:val="20"/>
          <w:lang w:val="en-US" w:eastAsia="ja-JP"/>
        </w:rPr>
        <w:t xml:space="preserve"> UE in these bands.</w:t>
      </w:r>
    </w:p>
    <w:p w14:paraId="56978F26" w14:textId="77777777" w:rsidR="0060167F" w:rsidRPr="0060167F" w:rsidRDefault="0060167F" w:rsidP="0060167F">
      <w:pPr>
        <w:numPr>
          <w:ilvl w:val="2"/>
          <w:numId w:val="28"/>
        </w:numPr>
        <w:spacing w:before="120" w:after="120"/>
        <w:rPr>
          <w:rFonts w:eastAsia="MS Mincho"/>
          <w:b/>
          <w:iCs/>
          <w:sz w:val="20"/>
          <w:szCs w:val="20"/>
          <w:lang w:val="en-US" w:eastAsia="ja-JP"/>
        </w:rPr>
      </w:pPr>
      <w:r w:rsidRPr="0060167F">
        <w:rPr>
          <w:rFonts w:eastAsia="MS Mincho"/>
          <w:iCs/>
          <w:sz w:val="20"/>
          <w:szCs w:val="20"/>
          <w:lang w:val="en-US" w:eastAsia="ja-JP"/>
        </w:rPr>
        <w:t xml:space="preserve">A means shall be specified by which the </w:t>
      </w:r>
      <w:proofErr w:type="spellStart"/>
      <w:r w:rsidRPr="0060167F">
        <w:rPr>
          <w:rFonts w:eastAsia="MS Mincho"/>
          <w:iCs/>
          <w:sz w:val="20"/>
          <w:szCs w:val="20"/>
          <w:lang w:val="en-US" w:eastAsia="ja-JP"/>
        </w:rPr>
        <w:t>gNB</w:t>
      </w:r>
      <w:proofErr w:type="spellEnd"/>
      <w:r w:rsidRPr="0060167F">
        <w:rPr>
          <w:rFonts w:eastAsia="MS Mincho"/>
          <w:iCs/>
          <w:sz w:val="20"/>
          <w:szCs w:val="20"/>
          <w:lang w:val="en-US" w:eastAsia="ja-JP"/>
        </w:rPr>
        <w:t xml:space="preserve"> can know the number of Rx branches of the UE.</w:t>
      </w:r>
    </w:p>
    <w:p w14:paraId="0F5B80AC"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Maximum number of DL MIMO layers:</w:t>
      </w:r>
    </w:p>
    <w:p w14:paraId="4463EE1F"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with 1 Rx </w:t>
      </w:r>
      <w:r w:rsidRPr="0060167F">
        <w:rPr>
          <w:rFonts w:eastAsia="MS Mincho"/>
          <w:iCs/>
          <w:sz w:val="20"/>
          <w:szCs w:val="20"/>
          <w:lang w:val="en-US" w:eastAsia="ja-JP"/>
        </w:rPr>
        <w:t>branch</w:t>
      </w:r>
      <w:r w:rsidRPr="0060167F">
        <w:rPr>
          <w:rFonts w:eastAsia="MS Mincho"/>
          <w:bCs/>
          <w:iCs/>
          <w:sz w:val="20"/>
          <w:szCs w:val="20"/>
          <w:lang w:val="en-US" w:eastAsia="ja-JP"/>
        </w:rPr>
        <w:t>, 1 DL MIMO layer is supported.</w:t>
      </w:r>
    </w:p>
    <w:p w14:paraId="48B2F879"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 with 2 Rx </w:t>
      </w:r>
      <w:r w:rsidRPr="0060167F">
        <w:rPr>
          <w:rFonts w:eastAsia="MS Mincho"/>
          <w:iCs/>
          <w:sz w:val="20"/>
          <w:szCs w:val="20"/>
          <w:lang w:val="en-US" w:eastAsia="ja-JP"/>
        </w:rPr>
        <w:t>branches</w:t>
      </w:r>
      <w:r w:rsidRPr="0060167F">
        <w:rPr>
          <w:rFonts w:eastAsia="MS Mincho"/>
          <w:bCs/>
          <w:iCs/>
          <w:sz w:val="20"/>
          <w:szCs w:val="20"/>
          <w:lang w:val="en-US" w:eastAsia="ja-JP"/>
        </w:rPr>
        <w:t>, 2 DL MIMO layers are supported.</w:t>
      </w:r>
    </w:p>
    <w:p w14:paraId="14F3124D" w14:textId="77777777" w:rsidR="0060167F" w:rsidRPr="0060167F" w:rsidRDefault="0060167F" w:rsidP="0060167F">
      <w:pPr>
        <w:numPr>
          <w:ilvl w:val="1"/>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Relaxed maximum modulation order:</w:t>
      </w:r>
    </w:p>
    <w:p w14:paraId="4C11CD5E" w14:textId="77777777" w:rsidR="0060167F" w:rsidRPr="0060167F" w:rsidRDefault="0060167F" w:rsidP="0060167F">
      <w:pPr>
        <w:numPr>
          <w:ilvl w:val="2"/>
          <w:numId w:val="28"/>
        </w:numPr>
        <w:spacing w:before="120" w:after="120"/>
        <w:rPr>
          <w:rFonts w:eastAsia="MS Mincho"/>
          <w:b/>
          <w:bCs/>
          <w:iCs/>
          <w:sz w:val="20"/>
          <w:szCs w:val="20"/>
          <w:lang w:val="en-US" w:eastAsia="ja-JP"/>
        </w:rPr>
      </w:pPr>
      <w:r w:rsidRPr="0060167F">
        <w:rPr>
          <w:rFonts w:eastAsia="MS Mincho"/>
          <w:bCs/>
          <w:iCs/>
          <w:sz w:val="20"/>
          <w:szCs w:val="20"/>
          <w:lang w:val="en-US" w:eastAsia="ja-JP"/>
        </w:rPr>
        <w:t xml:space="preserve">Support of 256QAM in DL is optional (instead of mandatory) for an FR1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w:t>
      </w:r>
    </w:p>
    <w:p w14:paraId="62006E3B" w14:textId="77777777" w:rsidR="0060167F" w:rsidRPr="0060167F" w:rsidRDefault="0060167F" w:rsidP="0060167F">
      <w:pPr>
        <w:numPr>
          <w:ilvl w:val="2"/>
          <w:numId w:val="28"/>
        </w:numPr>
        <w:spacing w:before="120" w:after="120"/>
        <w:rPr>
          <w:rFonts w:eastAsia="MS Mincho"/>
          <w:bCs/>
          <w:iCs/>
          <w:sz w:val="20"/>
          <w:szCs w:val="20"/>
          <w:lang w:val="en-US" w:eastAsia="ja-JP"/>
        </w:rPr>
      </w:pPr>
      <w:r w:rsidRPr="0060167F">
        <w:rPr>
          <w:rFonts w:eastAsia="MS Mincho"/>
          <w:bCs/>
          <w:iCs/>
          <w:sz w:val="20"/>
          <w:szCs w:val="20"/>
          <w:lang w:val="en-US" w:eastAsia="ja-JP"/>
        </w:rPr>
        <w:t xml:space="preserve">No other relaxations of maximum modulation order are specified for a </w:t>
      </w:r>
      <w:proofErr w:type="spellStart"/>
      <w:r w:rsidRPr="0060167F">
        <w:rPr>
          <w:rFonts w:eastAsia="MS Mincho"/>
          <w:bCs/>
          <w:iCs/>
          <w:sz w:val="20"/>
          <w:szCs w:val="20"/>
          <w:lang w:val="en-US" w:eastAsia="ja-JP"/>
        </w:rPr>
        <w:t>RedCap</w:t>
      </w:r>
      <w:proofErr w:type="spellEnd"/>
      <w:r w:rsidRPr="0060167F">
        <w:rPr>
          <w:rFonts w:eastAsia="MS Mincho"/>
          <w:bCs/>
          <w:iCs/>
          <w:sz w:val="20"/>
          <w:szCs w:val="20"/>
          <w:lang w:val="en-US" w:eastAsia="ja-JP"/>
        </w:rPr>
        <w:t xml:space="preserve"> UE.</w:t>
      </w:r>
    </w:p>
    <w:p w14:paraId="4591BA87" w14:textId="77777777" w:rsidR="0060167F" w:rsidRPr="0060167F" w:rsidRDefault="0060167F" w:rsidP="0060167F">
      <w:pPr>
        <w:numPr>
          <w:ilvl w:val="1"/>
          <w:numId w:val="28"/>
        </w:numPr>
        <w:spacing w:before="120" w:after="120"/>
        <w:rPr>
          <w:rFonts w:eastAsia="MS Mincho"/>
          <w:bCs/>
          <w:iCs/>
          <w:sz w:val="20"/>
          <w:szCs w:val="20"/>
          <w:lang w:val="en-US" w:eastAsia="ja-JP"/>
        </w:rPr>
      </w:pPr>
      <w:r w:rsidRPr="0060167F">
        <w:rPr>
          <w:rFonts w:eastAsia="MS Mincho"/>
          <w:bCs/>
          <w:iCs/>
          <w:sz w:val="20"/>
          <w:szCs w:val="20"/>
          <w:lang w:val="en-US" w:eastAsia="ja-JP"/>
        </w:rPr>
        <w:t>Duplex operation:</w:t>
      </w:r>
    </w:p>
    <w:p w14:paraId="02ADB8DE" w14:textId="77777777" w:rsidR="0060167F" w:rsidRPr="0060167F" w:rsidRDefault="0060167F" w:rsidP="0060167F">
      <w:pPr>
        <w:numPr>
          <w:ilvl w:val="2"/>
          <w:numId w:val="28"/>
        </w:numPr>
        <w:spacing w:before="120" w:after="120"/>
        <w:rPr>
          <w:rFonts w:eastAsia="MS Mincho"/>
          <w:bCs/>
          <w:iCs/>
          <w:sz w:val="20"/>
          <w:szCs w:val="20"/>
          <w:lang w:val="en-US" w:eastAsia="ja-JP"/>
        </w:rPr>
      </w:pPr>
      <w:r w:rsidRPr="0060167F">
        <w:rPr>
          <w:rFonts w:eastAsia="MS Mincho"/>
          <w:bCs/>
          <w:iCs/>
          <w:sz w:val="20"/>
          <w:szCs w:val="20"/>
          <w:lang w:val="en-US" w:eastAsia="ja-JP"/>
        </w:rPr>
        <w:t>HD-FDD type A with the minimum specification impact (Note that FD-FDD and TDD are also supported.)</w:t>
      </w:r>
    </w:p>
    <w:p w14:paraId="59896813" w14:textId="68786A22" w:rsidR="0060167F" w:rsidRPr="0060167F" w:rsidRDefault="00FC6737" w:rsidP="0060167F">
      <w:pPr>
        <w:spacing w:before="120" w:after="120"/>
        <w:rPr>
          <w:rFonts w:eastAsia="MS Mincho"/>
          <w:iCs/>
          <w:sz w:val="20"/>
          <w:szCs w:val="20"/>
          <w:lang w:val="en-US" w:eastAsia="ja-JP"/>
        </w:rPr>
      </w:pPr>
      <w:r>
        <w:rPr>
          <w:rFonts w:eastAsia="MS Mincho"/>
          <w:iCs/>
          <w:sz w:val="20"/>
          <w:szCs w:val="20"/>
          <w:lang w:val="en-US" w:eastAsia="ja-JP"/>
        </w:rPr>
        <w:t xml:space="preserve">The </w:t>
      </w:r>
      <w:proofErr w:type="spellStart"/>
      <w:r>
        <w:rPr>
          <w:rFonts w:eastAsia="MS Mincho"/>
          <w:iCs/>
          <w:sz w:val="20"/>
          <w:szCs w:val="20"/>
          <w:lang w:val="en-US" w:eastAsia="ja-JP"/>
        </w:rPr>
        <w:t>RedCap</w:t>
      </w:r>
      <w:proofErr w:type="spellEnd"/>
      <w:r>
        <w:rPr>
          <w:rFonts w:eastAsia="MS Mincho"/>
          <w:iCs/>
          <w:sz w:val="20"/>
          <w:szCs w:val="20"/>
          <w:lang w:val="en-US" w:eastAsia="ja-JP"/>
        </w:rPr>
        <w:t xml:space="preserve"> device </w:t>
      </w:r>
      <w:r w:rsidR="0086231C">
        <w:rPr>
          <w:rFonts w:eastAsia="MS Mincho"/>
          <w:iCs/>
          <w:sz w:val="20"/>
          <w:szCs w:val="20"/>
          <w:lang w:val="en-US" w:eastAsia="ja-JP"/>
        </w:rPr>
        <w:t xml:space="preserve">as a new type of NR UE </w:t>
      </w:r>
      <w:r>
        <w:rPr>
          <w:rFonts w:eastAsia="MS Mincho"/>
          <w:iCs/>
          <w:sz w:val="20"/>
          <w:szCs w:val="20"/>
          <w:lang w:val="en-US" w:eastAsia="ja-JP"/>
        </w:rPr>
        <w:t>could interest in the MBS service, such as important system broadcast info, multimedia service.</w:t>
      </w:r>
      <w:r w:rsidR="00BA0A8A">
        <w:rPr>
          <w:rFonts w:eastAsia="MS Mincho"/>
          <w:iCs/>
          <w:sz w:val="20"/>
          <w:szCs w:val="20"/>
          <w:lang w:val="en-US" w:eastAsia="ja-JP"/>
        </w:rPr>
        <w:t xml:space="preserve"> </w:t>
      </w:r>
      <w:proofErr w:type="gramStart"/>
      <w:r w:rsidR="0086231C">
        <w:rPr>
          <w:rFonts w:eastAsia="MS Mincho"/>
          <w:iCs/>
          <w:sz w:val="20"/>
          <w:szCs w:val="20"/>
          <w:lang w:val="en-US" w:eastAsia="ja-JP"/>
        </w:rPr>
        <w:t>So</w:t>
      </w:r>
      <w:proofErr w:type="gramEnd"/>
      <w:r w:rsidR="0086231C">
        <w:rPr>
          <w:rFonts w:eastAsia="MS Mincho"/>
          <w:iCs/>
          <w:sz w:val="20"/>
          <w:szCs w:val="20"/>
          <w:lang w:val="en-US" w:eastAsia="ja-JP"/>
        </w:rPr>
        <w:t xml:space="preserve"> from MBS system design</w:t>
      </w:r>
      <w:r w:rsidR="00DC506D">
        <w:rPr>
          <w:rFonts w:eastAsia="MS Mincho"/>
          <w:iCs/>
          <w:sz w:val="20"/>
          <w:szCs w:val="20"/>
          <w:lang w:val="en-US" w:eastAsia="ja-JP"/>
        </w:rPr>
        <w:t xml:space="preserve"> aspect</w:t>
      </w:r>
      <w:r w:rsidR="0086231C">
        <w:rPr>
          <w:rFonts w:eastAsia="MS Mincho"/>
          <w:iCs/>
          <w:sz w:val="20"/>
          <w:szCs w:val="20"/>
          <w:lang w:val="en-US" w:eastAsia="ja-JP"/>
        </w:rPr>
        <w:t xml:space="preserve">, it should not preclude the </w:t>
      </w:r>
      <w:proofErr w:type="spellStart"/>
      <w:r w:rsidR="0086231C">
        <w:rPr>
          <w:rFonts w:eastAsia="MS Mincho"/>
          <w:iCs/>
          <w:sz w:val="20"/>
          <w:szCs w:val="20"/>
          <w:lang w:val="en-US" w:eastAsia="ja-JP"/>
        </w:rPr>
        <w:t>RedCap</w:t>
      </w:r>
      <w:proofErr w:type="spellEnd"/>
      <w:r w:rsidR="0086231C">
        <w:rPr>
          <w:rFonts w:eastAsia="MS Mincho"/>
          <w:iCs/>
          <w:sz w:val="20"/>
          <w:szCs w:val="20"/>
          <w:lang w:val="en-US" w:eastAsia="ja-JP"/>
        </w:rPr>
        <w:t xml:space="preserve"> device to </w:t>
      </w:r>
      <w:r w:rsidR="00BA0A8A">
        <w:rPr>
          <w:rFonts w:eastAsia="MS Mincho"/>
          <w:iCs/>
          <w:sz w:val="20"/>
          <w:szCs w:val="20"/>
          <w:lang w:val="en-US" w:eastAsia="ja-JP"/>
        </w:rPr>
        <w:t xml:space="preserve">receive the MBS broadcast service. </w:t>
      </w:r>
      <w:r w:rsidR="00DC506D">
        <w:rPr>
          <w:rFonts w:eastAsia="MS Mincho"/>
          <w:iCs/>
          <w:sz w:val="20"/>
          <w:szCs w:val="20"/>
          <w:lang w:val="en-US" w:eastAsia="ja-JP"/>
        </w:rPr>
        <w:t xml:space="preserve">If MBS supports the </w:t>
      </w:r>
      <w:proofErr w:type="spellStart"/>
      <w:r w:rsidR="00DC506D">
        <w:rPr>
          <w:rFonts w:eastAsia="MS Mincho"/>
          <w:iCs/>
          <w:sz w:val="20"/>
          <w:szCs w:val="20"/>
          <w:lang w:val="en-US" w:eastAsia="ja-JP"/>
        </w:rPr>
        <w:t>RedCap</w:t>
      </w:r>
      <w:proofErr w:type="spellEnd"/>
      <w:r w:rsidR="00DC506D">
        <w:rPr>
          <w:rFonts w:eastAsia="MS Mincho"/>
          <w:iCs/>
          <w:sz w:val="20"/>
          <w:szCs w:val="20"/>
          <w:lang w:val="en-US" w:eastAsia="ja-JP"/>
        </w:rPr>
        <w:t xml:space="preserve"> UE, the maximum UE bandwidth, number of Rx branch, MIMO layer and modulation order of </w:t>
      </w:r>
      <w:proofErr w:type="spellStart"/>
      <w:r w:rsidR="00DC506D">
        <w:rPr>
          <w:rFonts w:eastAsia="MS Mincho"/>
          <w:iCs/>
          <w:sz w:val="20"/>
          <w:szCs w:val="20"/>
          <w:lang w:val="en-US" w:eastAsia="ja-JP"/>
        </w:rPr>
        <w:t>RedCap</w:t>
      </w:r>
      <w:proofErr w:type="spellEnd"/>
      <w:r w:rsidR="00DC506D">
        <w:rPr>
          <w:rFonts w:eastAsia="MS Mincho"/>
          <w:iCs/>
          <w:sz w:val="20"/>
          <w:szCs w:val="20"/>
          <w:lang w:val="en-US" w:eastAsia="ja-JP"/>
        </w:rPr>
        <w:t xml:space="preserve"> UE should be considered in the MBS system design.</w:t>
      </w:r>
    </w:p>
    <w:p w14:paraId="136D5397" w14:textId="2BD0B16F" w:rsidR="004C7581" w:rsidRPr="00CA6B2B" w:rsidRDefault="004C7581" w:rsidP="000C074D">
      <w:pPr>
        <w:spacing w:before="120" w:after="120"/>
        <w:rPr>
          <w:b/>
          <w:bCs/>
          <w:color w:val="000000"/>
          <w:sz w:val="20"/>
          <w:szCs w:val="20"/>
          <w:lang w:val="en-US"/>
        </w:rPr>
      </w:pPr>
      <w:r w:rsidRPr="00CD3D27">
        <w:rPr>
          <w:b/>
          <w:bCs/>
          <w:color w:val="000000"/>
          <w:sz w:val="20"/>
          <w:szCs w:val="20"/>
          <w:lang w:val="en-US"/>
        </w:rPr>
        <w:t>Proposal 1:</w:t>
      </w:r>
      <w:r>
        <w:rPr>
          <w:b/>
          <w:bCs/>
          <w:color w:val="000000"/>
          <w:sz w:val="20"/>
          <w:szCs w:val="20"/>
          <w:lang w:val="en-US"/>
        </w:rPr>
        <w:t xml:space="preserve"> </w:t>
      </w:r>
      <w:r w:rsidRPr="004C7581">
        <w:rPr>
          <w:b/>
          <w:bCs/>
          <w:color w:val="000000"/>
          <w:sz w:val="20"/>
          <w:szCs w:val="20"/>
          <w:lang w:val="en-US"/>
        </w:rPr>
        <w:t xml:space="preserve">Support </w:t>
      </w:r>
      <w:proofErr w:type="spellStart"/>
      <w:r w:rsidRPr="004C7581">
        <w:rPr>
          <w:b/>
          <w:bCs/>
          <w:color w:val="000000"/>
          <w:sz w:val="20"/>
          <w:szCs w:val="20"/>
          <w:lang w:val="en-US"/>
        </w:rPr>
        <w:t>RedCap</w:t>
      </w:r>
      <w:proofErr w:type="spellEnd"/>
      <w:r w:rsidRPr="004C7581">
        <w:rPr>
          <w:b/>
          <w:bCs/>
          <w:color w:val="000000"/>
          <w:sz w:val="20"/>
          <w:szCs w:val="20"/>
          <w:lang w:val="en-US"/>
        </w:rPr>
        <w:t xml:space="preserve"> UE receives MBS broadcast service</w:t>
      </w:r>
      <w:r>
        <w:rPr>
          <w:b/>
          <w:bCs/>
          <w:color w:val="000000"/>
          <w:sz w:val="20"/>
          <w:szCs w:val="20"/>
          <w:lang w:val="en-US"/>
        </w:rPr>
        <w:t>.</w:t>
      </w:r>
    </w:p>
    <w:p w14:paraId="195A410A" w14:textId="6B531718" w:rsidR="00CD3D27" w:rsidRDefault="002E7FD6" w:rsidP="000C074D">
      <w:pPr>
        <w:spacing w:before="120" w:after="120"/>
        <w:rPr>
          <w:b/>
          <w:bCs/>
          <w:color w:val="000000"/>
          <w:sz w:val="20"/>
          <w:szCs w:val="20"/>
          <w:u w:val="single"/>
          <w:lang w:val="en-US"/>
        </w:rPr>
      </w:pPr>
      <w:r>
        <w:rPr>
          <w:b/>
          <w:bCs/>
          <w:color w:val="000000"/>
          <w:sz w:val="20"/>
          <w:szCs w:val="20"/>
          <w:u w:val="single"/>
          <w:lang w:val="en-US"/>
        </w:rPr>
        <w:t>Common frequency resource</w:t>
      </w:r>
    </w:p>
    <w:p w14:paraId="24DFA989" w14:textId="54A52D2A" w:rsidR="009A4DAC" w:rsidRDefault="00845E75" w:rsidP="000C074D">
      <w:pPr>
        <w:spacing w:before="120" w:after="120"/>
        <w:rPr>
          <w:color w:val="000000"/>
          <w:sz w:val="20"/>
          <w:szCs w:val="20"/>
          <w:lang w:val="en-US"/>
        </w:rPr>
      </w:pPr>
      <w:r>
        <w:rPr>
          <w:color w:val="000000"/>
          <w:sz w:val="20"/>
          <w:szCs w:val="20"/>
          <w:lang w:val="en-US"/>
        </w:rPr>
        <w:t xml:space="preserve">In previous RAN1 meeting, it was agreed to define the common frequency resource for IDEL/INACTVIE UEs. Initial BWP is default BWP for IDLE UE to receive MBS service. </w:t>
      </w:r>
      <w:r w:rsidR="009A4DAC">
        <w:rPr>
          <w:color w:val="000000"/>
          <w:sz w:val="20"/>
          <w:szCs w:val="20"/>
          <w:lang w:val="en-US"/>
        </w:rPr>
        <w:t>In RAN1#104 e-meeting, it was suggested to further clarified the relationship between CFR and initial BWP, and to identify which cases will be supported.</w:t>
      </w:r>
    </w:p>
    <w:p w14:paraId="5FC296AC" w14:textId="2DFCBA4E" w:rsidR="009A4DAC" w:rsidRDefault="009A4DAC" w:rsidP="009A4DAC">
      <w:pPr>
        <w:pStyle w:val="ListParagraph"/>
        <w:numPr>
          <w:ilvl w:val="0"/>
          <w:numId w:val="30"/>
        </w:numPr>
        <w:spacing w:before="120" w:after="120"/>
        <w:rPr>
          <w:color w:val="000000"/>
          <w:sz w:val="20"/>
          <w:szCs w:val="20"/>
          <w:lang w:val="en-US"/>
        </w:rPr>
      </w:pPr>
      <w:r>
        <w:rPr>
          <w:color w:val="000000"/>
          <w:sz w:val="20"/>
          <w:szCs w:val="20"/>
          <w:lang w:val="en-US"/>
        </w:rPr>
        <w:t xml:space="preserve">Case E: </w:t>
      </w:r>
    </w:p>
    <w:p w14:paraId="5384003A" w14:textId="7E194BE3" w:rsidR="009A4DAC" w:rsidRPr="009A4DAC" w:rsidRDefault="009A4DAC" w:rsidP="009A4DAC">
      <w:pPr>
        <w:pStyle w:val="ListParagraph"/>
        <w:numPr>
          <w:ilvl w:val="0"/>
          <w:numId w:val="0"/>
        </w:numPr>
        <w:spacing w:before="120" w:after="120"/>
        <w:ind w:left="720"/>
        <w:rPr>
          <w:color w:val="000000"/>
          <w:sz w:val="20"/>
          <w:szCs w:val="20"/>
          <w:lang w:val="en-US"/>
        </w:rPr>
      </w:pPr>
      <w:r>
        <w:rPr>
          <w:color w:val="000000"/>
          <w:sz w:val="20"/>
          <w:szCs w:val="20"/>
          <w:lang w:val="en-US"/>
        </w:rPr>
        <w:t>If the configured CFR</w:t>
      </w:r>
      <w:r w:rsidR="0004353C">
        <w:rPr>
          <w:color w:val="000000"/>
          <w:sz w:val="20"/>
          <w:szCs w:val="20"/>
          <w:lang w:val="en-US"/>
        </w:rPr>
        <w:t xml:space="preserve"> </w:t>
      </w:r>
      <w:r>
        <w:rPr>
          <w:color w:val="000000"/>
          <w:sz w:val="20"/>
          <w:szCs w:val="20"/>
          <w:lang w:val="en-US"/>
        </w:rPr>
        <w:t>is different from initial BWP or CORESET#0</w:t>
      </w:r>
      <w:r w:rsidR="0004353C">
        <w:rPr>
          <w:color w:val="000000"/>
          <w:sz w:val="20"/>
          <w:szCs w:val="20"/>
          <w:lang w:val="en-US"/>
        </w:rPr>
        <w:t xml:space="preserve"> in frequency domain</w:t>
      </w:r>
      <w:r>
        <w:rPr>
          <w:color w:val="000000"/>
          <w:sz w:val="20"/>
          <w:szCs w:val="20"/>
          <w:lang w:val="en-US"/>
        </w:rPr>
        <w:t>,</w:t>
      </w:r>
      <w:r w:rsidR="00152D87">
        <w:rPr>
          <w:color w:val="000000"/>
          <w:sz w:val="20"/>
          <w:szCs w:val="20"/>
          <w:lang w:val="en-US"/>
        </w:rPr>
        <w:t xml:space="preserve"> and the CFR size is larger than</w:t>
      </w:r>
      <w:r w:rsidR="00CA719E">
        <w:rPr>
          <w:color w:val="000000"/>
          <w:sz w:val="20"/>
          <w:szCs w:val="20"/>
          <w:lang w:val="en-US"/>
        </w:rPr>
        <w:t xml:space="preserve"> SIB1 configured</w:t>
      </w:r>
      <w:r w:rsidR="00152D87">
        <w:rPr>
          <w:color w:val="000000"/>
          <w:sz w:val="20"/>
          <w:szCs w:val="20"/>
          <w:lang w:val="en-US"/>
        </w:rPr>
        <w:t xml:space="preserve"> initial BWP,</w:t>
      </w:r>
      <w:r>
        <w:rPr>
          <w:color w:val="000000"/>
          <w:sz w:val="20"/>
          <w:szCs w:val="20"/>
          <w:lang w:val="en-US"/>
        </w:rPr>
        <w:t xml:space="preserve"> then</w:t>
      </w:r>
      <w:r w:rsidR="0004353C">
        <w:rPr>
          <w:color w:val="000000"/>
          <w:sz w:val="20"/>
          <w:szCs w:val="20"/>
          <w:lang w:val="en-US"/>
        </w:rPr>
        <w:t xml:space="preserve"> a BWP for MBS should be configured. If MBS broadcast service supports the reception by </w:t>
      </w:r>
      <w:proofErr w:type="spellStart"/>
      <w:r w:rsidR="0004353C">
        <w:rPr>
          <w:color w:val="000000"/>
          <w:sz w:val="20"/>
          <w:szCs w:val="20"/>
          <w:lang w:val="en-US"/>
        </w:rPr>
        <w:t>RedCap</w:t>
      </w:r>
      <w:proofErr w:type="spellEnd"/>
      <w:r w:rsidR="0004353C">
        <w:rPr>
          <w:color w:val="000000"/>
          <w:sz w:val="20"/>
          <w:szCs w:val="20"/>
          <w:lang w:val="en-US"/>
        </w:rPr>
        <w:t xml:space="preserve"> UE, then the maximum bandwidth of BWP is limited to 20MHz.</w:t>
      </w:r>
    </w:p>
    <w:p w14:paraId="49DFBC65" w14:textId="77777777" w:rsidR="0004353C" w:rsidRPr="0004353C" w:rsidRDefault="0004353C" w:rsidP="0004353C">
      <w:pPr>
        <w:pStyle w:val="ListParagraph"/>
        <w:numPr>
          <w:ilvl w:val="0"/>
          <w:numId w:val="30"/>
        </w:numPr>
        <w:spacing w:before="120" w:after="120"/>
        <w:rPr>
          <w:color w:val="000000"/>
          <w:sz w:val="20"/>
          <w:szCs w:val="20"/>
          <w:lang w:val="en-US"/>
        </w:rPr>
      </w:pPr>
      <w:r w:rsidRPr="0004353C">
        <w:rPr>
          <w:color w:val="000000"/>
          <w:sz w:val="20"/>
          <w:szCs w:val="20"/>
          <w:lang w:val="en-US"/>
        </w:rPr>
        <w:t>Case B</w:t>
      </w:r>
    </w:p>
    <w:p w14:paraId="6DA9DD5D" w14:textId="2CDC98B0" w:rsidR="00845E75" w:rsidRDefault="0004353C" w:rsidP="0004353C">
      <w:pPr>
        <w:spacing w:before="120" w:after="120"/>
        <w:ind w:left="720"/>
        <w:rPr>
          <w:color w:val="000000"/>
          <w:sz w:val="20"/>
          <w:szCs w:val="20"/>
          <w:lang w:val="en-US"/>
        </w:rPr>
      </w:pPr>
      <w:r>
        <w:rPr>
          <w:color w:val="000000"/>
          <w:sz w:val="20"/>
          <w:szCs w:val="20"/>
          <w:lang w:val="en-US"/>
        </w:rPr>
        <w:t xml:space="preserve">With this case, the CFR size is smaller than CORESET#0, we don’t see strong motivation to support this case. The CORESET#0 is smaller BWP to be supported by </w:t>
      </w:r>
      <w:r w:rsidR="00642D7F">
        <w:rPr>
          <w:color w:val="000000"/>
          <w:sz w:val="20"/>
          <w:szCs w:val="20"/>
          <w:lang w:val="en-US"/>
        </w:rPr>
        <w:t xml:space="preserve">all </w:t>
      </w:r>
      <w:r>
        <w:rPr>
          <w:color w:val="000000"/>
          <w:sz w:val="20"/>
          <w:szCs w:val="20"/>
          <w:lang w:val="en-US"/>
        </w:rPr>
        <w:t>NR UE</w:t>
      </w:r>
      <w:r w:rsidR="00642D7F">
        <w:rPr>
          <w:color w:val="000000"/>
          <w:sz w:val="20"/>
          <w:szCs w:val="20"/>
          <w:lang w:val="en-US"/>
        </w:rPr>
        <w:t>s</w:t>
      </w:r>
      <w:r>
        <w:rPr>
          <w:color w:val="000000"/>
          <w:sz w:val="20"/>
          <w:szCs w:val="20"/>
          <w:lang w:val="en-US"/>
        </w:rPr>
        <w:t>. The only potential benefit for Case B is UE power saving, but it would require the UE switching between the MBS and system information reception.</w:t>
      </w:r>
    </w:p>
    <w:p w14:paraId="2FF3D4E2" w14:textId="22A7B778" w:rsidR="0004353C" w:rsidRDefault="0004353C" w:rsidP="0004353C">
      <w:pPr>
        <w:pStyle w:val="ListParagraph"/>
        <w:numPr>
          <w:ilvl w:val="0"/>
          <w:numId w:val="30"/>
        </w:numPr>
        <w:spacing w:before="120" w:after="120"/>
        <w:rPr>
          <w:color w:val="000000"/>
          <w:sz w:val="20"/>
          <w:szCs w:val="20"/>
          <w:lang w:val="en-US"/>
        </w:rPr>
      </w:pPr>
      <w:r w:rsidRPr="0004353C">
        <w:rPr>
          <w:color w:val="000000"/>
          <w:sz w:val="20"/>
          <w:szCs w:val="20"/>
          <w:lang w:val="en-US"/>
        </w:rPr>
        <w:t>Case D</w:t>
      </w:r>
    </w:p>
    <w:p w14:paraId="17364D24" w14:textId="086F3943" w:rsidR="00AD63B0" w:rsidRDefault="00AD63B0" w:rsidP="00AD63B0">
      <w:pPr>
        <w:pStyle w:val="ListParagraph"/>
        <w:numPr>
          <w:ilvl w:val="0"/>
          <w:numId w:val="0"/>
        </w:numPr>
        <w:spacing w:before="120" w:after="120"/>
        <w:ind w:left="720"/>
        <w:rPr>
          <w:color w:val="000000"/>
          <w:sz w:val="20"/>
          <w:szCs w:val="20"/>
          <w:lang w:val="en-US"/>
        </w:rPr>
      </w:pPr>
      <w:r>
        <w:rPr>
          <w:color w:val="000000"/>
          <w:sz w:val="20"/>
          <w:szCs w:val="20"/>
          <w:lang w:val="en-US"/>
        </w:rPr>
        <w:t xml:space="preserve">With the Case D, CFR size is smaller than initial BWP which is configured by SIB1. As the initial BWP and CORESET#0 were are already configured by SIB1 or MIB, </w:t>
      </w:r>
      <w:r w:rsidR="005974DB">
        <w:rPr>
          <w:color w:val="000000"/>
          <w:sz w:val="20"/>
          <w:szCs w:val="20"/>
          <w:lang w:val="en-US"/>
        </w:rPr>
        <w:t>we don’t see the need to configure another</w:t>
      </w:r>
      <w:r>
        <w:rPr>
          <w:color w:val="000000"/>
          <w:sz w:val="20"/>
          <w:szCs w:val="20"/>
          <w:lang w:val="en-US"/>
        </w:rPr>
        <w:t xml:space="preserve"> CFR size in the meddle of CORESET#0 and initial BWP</w:t>
      </w:r>
      <w:r w:rsidR="005974DB">
        <w:rPr>
          <w:color w:val="000000"/>
          <w:sz w:val="20"/>
          <w:szCs w:val="20"/>
          <w:lang w:val="en-US"/>
        </w:rPr>
        <w:t xml:space="preserve">. </w:t>
      </w:r>
    </w:p>
    <w:p w14:paraId="55073E46" w14:textId="2490BC98" w:rsidR="005974DB" w:rsidRDefault="005974DB" w:rsidP="005974DB">
      <w:pPr>
        <w:pStyle w:val="ListParagraph"/>
        <w:numPr>
          <w:ilvl w:val="0"/>
          <w:numId w:val="30"/>
        </w:numPr>
        <w:spacing w:before="120" w:after="120"/>
        <w:rPr>
          <w:color w:val="000000"/>
          <w:sz w:val="20"/>
          <w:szCs w:val="20"/>
          <w:lang w:val="en-US"/>
        </w:rPr>
      </w:pPr>
      <w:r>
        <w:rPr>
          <w:color w:val="000000"/>
          <w:sz w:val="20"/>
          <w:szCs w:val="20"/>
          <w:lang w:val="en-US"/>
        </w:rPr>
        <w:t xml:space="preserve">Case A and Case </w:t>
      </w:r>
      <w:r w:rsidR="00FA00F5">
        <w:rPr>
          <w:color w:val="000000"/>
          <w:sz w:val="20"/>
          <w:szCs w:val="20"/>
          <w:lang w:val="en-US"/>
        </w:rPr>
        <w:t>C</w:t>
      </w:r>
    </w:p>
    <w:p w14:paraId="343CBD30" w14:textId="50274FBE" w:rsidR="005974DB" w:rsidRDefault="005974DB" w:rsidP="005974DB">
      <w:pPr>
        <w:pStyle w:val="ListParagraph"/>
        <w:numPr>
          <w:ilvl w:val="0"/>
          <w:numId w:val="0"/>
        </w:numPr>
        <w:spacing w:before="120" w:after="120"/>
        <w:ind w:left="720"/>
        <w:rPr>
          <w:color w:val="000000"/>
          <w:sz w:val="20"/>
          <w:szCs w:val="20"/>
          <w:lang w:val="en-US"/>
        </w:rPr>
      </w:pPr>
      <w:r>
        <w:rPr>
          <w:color w:val="000000"/>
          <w:sz w:val="20"/>
          <w:szCs w:val="20"/>
          <w:lang w:val="en-US"/>
        </w:rPr>
        <w:t>For Case A, the CFR size is the same as CORESET#0, this case can be supported.</w:t>
      </w:r>
    </w:p>
    <w:p w14:paraId="0F2B09E9" w14:textId="659258ED" w:rsidR="005974DB" w:rsidRDefault="005974DB" w:rsidP="005974DB">
      <w:pPr>
        <w:pStyle w:val="ListParagraph"/>
        <w:numPr>
          <w:ilvl w:val="0"/>
          <w:numId w:val="0"/>
        </w:numPr>
        <w:spacing w:before="120" w:after="120"/>
        <w:ind w:left="720"/>
        <w:rPr>
          <w:color w:val="000000"/>
          <w:sz w:val="20"/>
          <w:szCs w:val="20"/>
          <w:lang w:val="en-US"/>
        </w:rPr>
      </w:pPr>
      <w:r>
        <w:rPr>
          <w:color w:val="000000"/>
          <w:sz w:val="20"/>
          <w:szCs w:val="20"/>
          <w:lang w:val="en-US"/>
        </w:rPr>
        <w:t xml:space="preserve">For Case B, the CFR size is the same as the initial BWP configured by SIB1, this case can be supported as well. According to current specification, if initial DL BWP is configured by SIB1, it only applies to UE after </w:t>
      </w:r>
      <w:r w:rsidRPr="0050213C">
        <w:rPr>
          <w:color w:val="000000"/>
          <w:sz w:val="20"/>
          <w:szCs w:val="20"/>
        </w:rPr>
        <w:t xml:space="preserve">reception of </w:t>
      </w:r>
      <w:r w:rsidRPr="0050213C">
        <w:rPr>
          <w:i/>
          <w:iCs/>
          <w:color w:val="000000"/>
          <w:sz w:val="20"/>
          <w:szCs w:val="20"/>
        </w:rPr>
        <w:t>RRCSetup</w:t>
      </w:r>
      <w:r w:rsidRPr="0050213C">
        <w:rPr>
          <w:color w:val="000000"/>
          <w:sz w:val="20"/>
          <w:szCs w:val="20"/>
        </w:rPr>
        <w:t>/</w:t>
      </w:r>
      <w:r w:rsidRPr="0050213C">
        <w:rPr>
          <w:i/>
          <w:iCs/>
          <w:color w:val="000000"/>
          <w:sz w:val="20"/>
          <w:szCs w:val="20"/>
        </w:rPr>
        <w:t>RRCResume/RRCReestablishment</w:t>
      </w:r>
      <w:r>
        <w:rPr>
          <w:color w:val="000000"/>
          <w:sz w:val="20"/>
          <w:szCs w:val="20"/>
          <w:lang w:val="en-US"/>
        </w:rPr>
        <w:t xml:space="preserve">. </w:t>
      </w:r>
      <w:proofErr w:type="gramStart"/>
      <w:r>
        <w:rPr>
          <w:color w:val="000000"/>
          <w:sz w:val="20"/>
          <w:szCs w:val="20"/>
          <w:lang w:val="en-US"/>
        </w:rPr>
        <w:t>So</w:t>
      </w:r>
      <w:proofErr w:type="gramEnd"/>
      <w:r>
        <w:rPr>
          <w:color w:val="000000"/>
          <w:sz w:val="20"/>
          <w:szCs w:val="20"/>
          <w:lang w:val="en-US"/>
        </w:rPr>
        <w:t xml:space="preserve"> this restriction should be lifted for MBS.</w:t>
      </w:r>
    </w:p>
    <w:p w14:paraId="77E04C2B" w14:textId="6DDF111F" w:rsidR="005974DB" w:rsidRDefault="005974DB" w:rsidP="000C074D">
      <w:pPr>
        <w:spacing w:before="120" w:after="120"/>
        <w:rPr>
          <w:color w:val="000000"/>
          <w:sz w:val="20"/>
          <w:szCs w:val="20"/>
          <w:lang w:val="en-US"/>
        </w:rPr>
      </w:pPr>
      <w:r>
        <w:rPr>
          <w:color w:val="000000"/>
          <w:sz w:val="20"/>
          <w:szCs w:val="20"/>
          <w:lang w:val="en-US"/>
        </w:rPr>
        <w:t xml:space="preserve">In short, </w:t>
      </w:r>
      <w:r w:rsidR="003126F1">
        <w:rPr>
          <w:color w:val="000000"/>
          <w:sz w:val="20"/>
          <w:szCs w:val="20"/>
          <w:lang w:val="en-US"/>
        </w:rPr>
        <w:t xml:space="preserve">Case </w:t>
      </w:r>
      <w:r w:rsidR="00FA00F5">
        <w:rPr>
          <w:color w:val="000000"/>
          <w:sz w:val="20"/>
          <w:szCs w:val="20"/>
          <w:lang w:val="en-US"/>
        </w:rPr>
        <w:t>C</w:t>
      </w:r>
      <w:r w:rsidR="003126F1">
        <w:rPr>
          <w:color w:val="000000"/>
          <w:sz w:val="20"/>
          <w:szCs w:val="20"/>
          <w:lang w:val="en-US"/>
        </w:rPr>
        <w:t>/E can be supported for IDLE/INACTIVE UE to receive the MBS broadcast service</w:t>
      </w:r>
      <w:r w:rsidR="00FA00F5">
        <w:rPr>
          <w:color w:val="000000"/>
          <w:sz w:val="20"/>
          <w:szCs w:val="20"/>
          <w:lang w:val="en-US"/>
        </w:rPr>
        <w:t xml:space="preserve">, and the Case A was already supported in last RAN1 meeting. </w:t>
      </w:r>
    </w:p>
    <w:p w14:paraId="320752D7" w14:textId="1446D95F" w:rsidR="0004353C" w:rsidRPr="00CD3D27" w:rsidRDefault="0004353C" w:rsidP="000C074D">
      <w:pPr>
        <w:spacing w:before="120" w:after="120"/>
        <w:rPr>
          <w:b/>
          <w:bCs/>
          <w:color w:val="000000"/>
          <w:sz w:val="20"/>
          <w:szCs w:val="20"/>
          <w:u w:val="single"/>
          <w:lang w:val="en-US"/>
        </w:rPr>
      </w:pPr>
    </w:p>
    <w:tbl>
      <w:tblPr>
        <w:tblStyle w:val="TableGrid"/>
        <w:tblW w:w="0" w:type="auto"/>
        <w:tblLook w:val="04A0" w:firstRow="1" w:lastRow="0" w:firstColumn="1" w:lastColumn="0" w:noHBand="0" w:noVBand="1"/>
      </w:tblPr>
      <w:tblGrid>
        <w:gridCol w:w="9629"/>
      </w:tblGrid>
      <w:tr w:rsidR="00845E75" w14:paraId="703A8A50" w14:textId="77777777" w:rsidTr="00845E75">
        <w:tc>
          <w:tcPr>
            <w:tcW w:w="9629" w:type="dxa"/>
          </w:tcPr>
          <w:p w14:paraId="437267CE" w14:textId="4CEB0BEB" w:rsidR="00845E75" w:rsidRPr="00845E75" w:rsidRDefault="00845E75" w:rsidP="00845E75">
            <w:pPr>
              <w:rPr>
                <w:sz w:val="20"/>
                <w:szCs w:val="20"/>
                <w:lang w:val="en-US" w:eastAsia="x-none"/>
              </w:rPr>
            </w:pPr>
            <w:r w:rsidRPr="00845E75">
              <w:rPr>
                <w:sz w:val="20"/>
                <w:szCs w:val="20"/>
                <w:highlight w:val="green"/>
                <w:lang w:eastAsia="x-none"/>
              </w:rPr>
              <w:t>Agreement:</w:t>
            </w:r>
            <w:r>
              <w:rPr>
                <w:sz w:val="20"/>
                <w:szCs w:val="20"/>
                <w:lang w:val="en-US" w:eastAsia="x-none"/>
              </w:rPr>
              <w:t>[2]</w:t>
            </w:r>
          </w:p>
          <w:p w14:paraId="17053343" w14:textId="77777777" w:rsidR="00845E75" w:rsidRPr="00845E75" w:rsidRDefault="00845E75" w:rsidP="00845E75">
            <w:pPr>
              <w:rPr>
                <w:sz w:val="20"/>
                <w:szCs w:val="20"/>
              </w:rPr>
            </w:pPr>
            <w:r w:rsidRPr="00845E75">
              <w:rPr>
                <w:sz w:val="20"/>
                <w:szCs w:val="20"/>
              </w:rPr>
              <w:lastRenderedPageBreak/>
              <w:t xml:space="preserve">For RRC_IDLE/RRC_INACTIVE UEs, for broadcast reception, further study the following cases of a configured/defined specific common frequency resource (CFR) for group-common PDCCH/PDSCH, </w:t>
            </w:r>
            <w:r w:rsidRPr="00845E75">
              <w:rPr>
                <w:sz w:val="20"/>
                <w:szCs w:val="20"/>
                <w:u w:val="single"/>
              </w:rPr>
              <w:t>and identify which case(s) will be supported</w:t>
            </w:r>
            <w:r w:rsidRPr="00845E75">
              <w:rPr>
                <w:sz w:val="20"/>
                <w:szCs w:val="20"/>
              </w:rPr>
              <w:t>:</w:t>
            </w:r>
          </w:p>
          <w:p w14:paraId="3D8C5A9F" w14:textId="77777777" w:rsidR="00845E75" w:rsidRPr="00845E75" w:rsidRDefault="00845E75" w:rsidP="00845E75">
            <w:pPr>
              <w:pStyle w:val="ListParagraph"/>
              <w:numPr>
                <w:ilvl w:val="0"/>
                <w:numId w:val="29"/>
              </w:numPr>
              <w:overflowPunct w:val="0"/>
              <w:autoSpaceDE w:val="0"/>
              <w:autoSpaceDN w:val="0"/>
              <w:adjustRightInd w:val="0"/>
              <w:textAlignment w:val="baseline"/>
              <w:rPr>
                <w:sz w:val="20"/>
                <w:szCs w:val="20"/>
              </w:rPr>
            </w:pPr>
            <w:r w:rsidRPr="00845E75">
              <w:rPr>
                <w:sz w:val="20"/>
                <w:szCs w:val="20"/>
              </w:rPr>
              <w:t xml:space="preserve">[Case E] the case where a CFR is defined based on a configured BWP. </w:t>
            </w:r>
          </w:p>
          <w:p w14:paraId="4C7D51F7"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particular, study the following:</w:t>
            </w:r>
          </w:p>
          <w:p w14:paraId="7EBE4027"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whether a configured BWP for MBS is needed or not.</w:t>
            </w:r>
          </w:p>
          <w:p w14:paraId="63B006AF"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 xml:space="preserve">whether </w:t>
            </w:r>
            <w:r w:rsidRPr="00845E75">
              <w:rPr>
                <w:sz w:val="20"/>
                <w:szCs w:val="20"/>
                <w:lang w:eastAsia="zh-CN"/>
              </w:rPr>
              <w:t>BWP switching is needed or not.</w:t>
            </w:r>
          </w:p>
          <w:p w14:paraId="72FD64C7"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this study, the configured BWP has the following properties:</w:t>
            </w:r>
          </w:p>
          <w:p w14:paraId="7E101422"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 xml:space="preserve">The configured BWP is different than the initial BWP where the frequency resources of this initial BWP are configured smaller than the full carrier bandwidth. </w:t>
            </w:r>
          </w:p>
          <w:p w14:paraId="49E167A5"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The CFR has the frequency resources identical to the configured BWP.</w:t>
            </w:r>
          </w:p>
          <w:p w14:paraId="6751F231"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 xml:space="preserve">The configured BWP needs to fully contain the initial BWP in frequency domain and has the same SCS and CP as the initial BWP. </w:t>
            </w:r>
          </w:p>
          <w:p w14:paraId="4DC5260E"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Note: The configured BWP is not larger than the carrier bandwidth</w:t>
            </w:r>
          </w:p>
          <w:p w14:paraId="1F51C247" w14:textId="77777777" w:rsidR="00845E75" w:rsidRPr="00845E75" w:rsidRDefault="00845E75" w:rsidP="00845E75">
            <w:pPr>
              <w:pStyle w:val="ListParagraph"/>
              <w:numPr>
                <w:ilvl w:val="0"/>
                <w:numId w:val="29"/>
              </w:numPr>
              <w:overflowPunct w:val="0"/>
              <w:autoSpaceDE w:val="0"/>
              <w:autoSpaceDN w:val="0"/>
              <w:adjustRightInd w:val="0"/>
              <w:textAlignment w:val="baseline"/>
              <w:rPr>
                <w:sz w:val="20"/>
                <w:szCs w:val="20"/>
              </w:rPr>
            </w:pPr>
            <w:r w:rsidRPr="00845E75">
              <w:rPr>
                <w:sz w:val="20"/>
                <w:szCs w:val="20"/>
              </w:rPr>
              <w:t>the case where the initial BWP fully contains the CFR in the frequency domain.</w:t>
            </w:r>
          </w:p>
          <w:p w14:paraId="1E96D372"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this study the following sub-cases are considered:</w:t>
            </w:r>
          </w:p>
          <w:p w14:paraId="1B3A71FE" w14:textId="77777777" w:rsidR="00845E75" w:rsidRPr="00845E75" w:rsidRDefault="00845E75" w:rsidP="00845E75">
            <w:pPr>
              <w:numPr>
                <w:ilvl w:val="2"/>
                <w:numId w:val="29"/>
              </w:numPr>
              <w:overflowPunct w:val="0"/>
              <w:autoSpaceDE w:val="0"/>
              <w:autoSpaceDN w:val="0"/>
              <w:adjustRightInd w:val="0"/>
              <w:textAlignment w:val="baseline"/>
              <w:rPr>
                <w:sz w:val="20"/>
                <w:szCs w:val="20"/>
              </w:rPr>
            </w:pPr>
            <w:r w:rsidRPr="00845E75">
              <w:rPr>
                <w:sz w:val="20"/>
                <w:szCs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2C33CBE1" w14:textId="77777777" w:rsidR="00845E75" w:rsidRPr="00845E75" w:rsidRDefault="00845E75" w:rsidP="00845E75">
            <w:pPr>
              <w:numPr>
                <w:ilvl w:val="2"/>
                <w:numId w:val="29"/>
              </w:numPr>
              <w:overflowPunct w:val="0"/>
              <w:autoSpaceDE w:val="0"/>
              <w:autoSpaceDN w:val="0"/>
              <w:adjustRightInd w:val="0"/>
              <w:textAlignment w:val="baseline"/>
              <w:rPr>
                <w:sz w:val="20"/>
                <w:szCs w:val="20"/>
              </w:rPr>
            </w:pPr>
            <w:r w:rsidRPr="00845E75">
              <w:rPr>
                <w:sz w:val="20"/>
                <w:szCs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5A214FD4"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particular, study the following:</w:t>
            </w:r>
          </w:p>
          <w:p w14:paraId="4B0050BB"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Whether the considered two options with a CFR with smaller size than the initial BWP are needed or not for MBS.</w:t>
            </w:r>
          </w:p>
          <w:p w14:paraId="6625F22B" w14:textId="77777777" w:rsidR="00845E75" w:rsidRPr="00845E75" w:rsidRDefault="00845E75" w:rsidP="00845E75">
            <w:pPr>
              <w:pStyle w:val="ListParagraph"/>
              <w:numPr>
                <w:ilvl w:val="0"/>
                <w:numId w:val="29"/>
              </w:numPr>
              <w:overflowPunct w:val="0"/>
              <w:autoSpaceDE w:val="0"/>
              <w:autoSpaceDN w:val="0"/>
              <w:adjustRightInd w:val="0"/>
              <w:textAlignment w:val="baseline"/>
              <w:rPr>
                <w:sz w:val="20"/>
                <w:szCs w:val="20"/>
              </w:rPr>
            </w:pPr>
            <w:r w:rsidRPr="00845E75">
              <w:rPr>
                <w:sz w:val="20"/>
                <w:szCs w:val="20"/>
              </w:rPr>
              <w:t xml:space="preserve">the case where the initial BWP has same size as the CFR in the frequency domain. </w:t>
            </w:r>
          </w:p>
          <w:p w14:paraId="58C84C76"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this study the following two sub-cases are considered:</w:t>
            </w:r>
          </w:p>
          <w:p w14:paraId="172A39D7"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[Case A] A CFR with the same size as the initial BWP, where the initial BWP has the same frequency resources as CORESET0. In this case the CFR has the same frequency resources and same SCS and CP as the initial BWP.</w:t>
            </w:r>
          </w:p>
          <w:p w14:paraId="49F9A0F5" w14:textId="77777777" w:rsidR="00845E75" w:rsidRPr="00845E75" w:rsidRDefault="00845E75" w:rsidP="00845E75">
            <w:pPr>
              <w:pStyle w:val="ListParagraph"/>
              <w:numPr>
                <w:ilvl w:val="2"/>
                <w:numId w:val="29"/>
              </w:numPr>
              <w:overflowPunct w:val="0"/>
              <w:autoSpaceDE w:val="0"/>
              <w:autoSpaceDN w:val="0"/>
              <w:adjustRightInd w:val="0"/>
              <w:textAlignment w:val="baseline"/>
              <w:rPr>
                <w:sz w:val="20"/>
                <w:szCs w:val="20"/>
              </w:rPr>
            </w:pPr>
            <w:r w:rsidRPr="00845E75">
              <w:rPr>
                <w:sz w:val="20"/>
                <w:szCs w:val="20"/>
              </w:rPr>
              <w:t>[Case C] A CFR with same size as the initial BWP, where the initial BWP has the frequency resources configured by SIB1. In this case the CFR has the same frequency resources and same SCS and CP as the initial BWP.</w:t>
            </w:r>
          </w:p>
          <w:p w14:paraId="08A0A528" w14:textId="77777777" w:rsidR="00845E75" w:rsidRPr="00845E75" w:rsidRDefault="00845E75" w:rsidP="00845E75">
            <w:pPr>
              <w:pStyle w:val="ListParagraph"/>
              <w:numPr>
                <w:ilvl w:val="1"/>
                <w:numId w:val="29"/>
              </w:numPr>
              <w:overflowPunct w:val="0"/>
              <w:autoSpaceDE w:val="0"/>
              <w:autoSpaceDN w:val="0"/>
              <w:adjustRightInd w:val="0"/>
              <w:textAlignment w:val="baseline"/>
              <w:rPr>
                <w:sz w:val="20"/>
                <w:szCs w:val="20"/>
              </w:rPr>
            </w:pPr>
            <w:r w:rsidRPr="00845E75">
              <w:rPr>
                <w:sz w:val="20"/>
                <w:szCs w:val="20"/>
              </w:rPr>
              <w:t>In particular, study the following:</w:t>
            </w:r>
          </w:p>
          <w:p w14:paraId="79FEAD5F" w14:textId="77777777" w:rsidR="00845E75" w:rsidRPr="004F5105" w:rsidRDefault="00845E75" w:rsidP="00845E75">
            <w:pPr>
              <w:pStyle w:val="ListParagraph"/>
              <w:numPr>
                <w:ilvl w:val="2"/>
                <w:numId w:val="29"/>
              </w:numPr>
              <w:overflowPunct w:val="0"/>
              <w:autoSpaceDE w:val="0"/>
              <w:autoSpaceDN w:val="0"/>
              <w:adjustRightInd w:val="0"/>
              <w:textAlignment w:val="baseline"/>
            </w:pPr>
            <w:r w:rsidRPr="00845E75">
              <w:rPr>
                <w:sz w:val="20"/>
                <w:szCs w:val="20"/>
              </w:rPr>
              <w:t>Whether the considered two options with a CFR with the same size as the initial BWP are needed or not for MBS.</w:t>
            </w:r>
          </w:p>
          <w:p w14:paraId="79AF9BA4" w14:textId="60F2C9AE" w:rsidR="004F5105" w:rsidRPr="004F5105" w:rsidRDefault="004F5105" w:rsidP="004F5105">
            <w:pPr>
              <w:rPr>
                <w:rFonts w:eastAsia="SimSun"/>
                <w:sz w:val="20"/>
                <w:szCs w:val="20"/>
              </w:rPr>
            </w:pPr>
            <w:r w:rsidRPr="004F5105">
              <w:rPr>
                <w:rFonts w:eastAsia="SimSun"/>
                <w:sz w:val="20"/>
                <w:szCs w:val="20"/>
                <w:highlight w:val="green"/>
              </w:rPr>
              <w:t>Agreement:</w:t>
            </w:r>
            <w:r>
              <w:rPr>
                <w:rFonts w:eastAsia="SimSun"/>
                <w:sz w:val="20"/>
                <w:szCs w:val="20"/>
                <w:lang w:val="en-US"/>
              </w:rPr>
              <w:t>[5]</w:t>
            </w:r>
          </w:p>
          <w:p w14:paraId="122062AF" w14:textId="28199D2D" w:rsidR="004F5105" w:rsidRPr="004F5105" w:rsidRDefault="004F5105" w:rsidP="004F5105">
            <w:pPr>
              <w:rPr>
                <w:rFonts w:eastAsia="SimSun"/>
                <w:sz w:val="20"/>
                <w:szCs w:val="20"/>
                <w:lang w:eastAsia="x-none"/>
              </w:rPr>
            </w:pPr>
            <w:r w:rsidRPr="004F5105">
              <w:rPr>
                <w:rFonts w:eastAsia="SimSun"/>
                <w:sz w:val="20"/>
                <w:szCs w:val="20"/>
              </w:rPr>
              <w:t>For broadcast</w:t>
            </w:r>
            <w:r w:rsidRPr="004F5105">
              <w:rPr>
                <w:rFonts w:eastAsia="SimSun"/>
                <w:sz w:val="20"/>
                <w:szCs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01DFC71F" w14:textId="345CC8F9" w:rsidR="004F5105" w:rsidRPr="004F5105" w:rsidRDefault="004F5105" w:rsidP="004F5105">
            <w:pPr>
              <w:pStyle w:val="ListParagraph"/>
              <w:numPr>
                <w:ilvl w:val="0"/>
                <w:numId w:val="33"/>
              </w:numPr>
              <w:overflowPunct w:val="0"/>
              <w:autoSpaceDE w:val="0"/>
              <w:autoSpaceDN w:val="0"/>
              <w:adjustRightInd w:val="0"/>
              <w:spacing w:after="120"/>
              <w:ind w:left="720"/>
              <w:textAlignment w:val="baseline"/>
              <w:rPr>
                <w:b/>
                <w:bCs/>
                <w:sz w:val="20"/>
                <w:szCs w:val="20"/>
              </w:rPr>
            </w:pPr>
            <w:r w:rsidRPr="004F5105">
              <w:rPr>
                <w:rFonts w:eastAsia="SimSun"/>
                <w:sz w:val="20"/>
                <w:szCs w:val="20"/>
                <w:lang w:eastAsia="zh-CN"/>
              </w:rPr>
              <w:lastRenderedPageBreak/>
              <w:t>Note: GC-PDCCH/PDSCH transmission within a narrower portion of the Initial BWP (</w:t>
            </w:r>
            <w:r w:rsidRPr="004F5105">
              <w:rPr>
                <w:rFonts w:eastAsia="SimSun"/>
                <w:sz w:val="20"/>
                <w:szCs w:val="20"/>
              </w:rPr>
              <w:t>where the initial BWP has the same frequency resources as CORESET0</w:t>
            </w:r>
            <w:r w:rsidRPr="004F5105">
              <w:rPr>
                <w:rFonts w:eastAsia="SimSun"/>
                <w:sz w:val="20"/>
                <w:szCs w:val="20"/>
                <w:lang w:eastAsia="zh-CN"/>
              </w:rPr>
              <w:t>) is possible by implementation via appropriate scheduling.</w:t>
            </w:r>
          </w:p>
          <w:p w14:paraId="00E6A83D" w14:textId="7612F594" w:rsidR="004F5105" w:rsidRPr="004F5105" w:rsidRDefault="004F5105" w:rsidP="004F5105">
            <w:pPr>
              <w:rPr>
                <w:rFonts w:eastAsia="SimSun"/>
                <w:sz w:val="20"/>
                <w:szCs w:val="20"/>
                <w:lang w:val="en-US"/>
              </w:rPr>
            </w:pPr>
            <w:r w:rsidRPr="004F5105">
              <w:rPr>
                <w:rFonts w:eastAsia="SimSun"/>
                <w:sz w:val="20"/>
                <w:szCs w:val="20"/>
                <w:highlight w:val="green"/>
              </w:rPr>
              <w:t>Agreement:</w:t>
            </w:r>
            <w:r>
              <w:rPr>
                <w:rFonts w:eastAsia="SimSun"/>
                <w:sz w:val="20"/>
                <w:szCs w:val="20"/>
                <w:lang w:val="en-US"/>
              </w:rPr>
              <w:t>[5]</w:t>
            </w:r>
          </w:p>
          <w:p w14:paraId="2BD0D394" w14:textId="77777777" w:rsidR="004F5105" w:rsidRPr="004F5105" w:rsidRDefault="004F5105" w:rsidP="004F5105">
            <w:pPr>
              <w:spacing w:after="160" w:line="252" w:lineRule="auto"/>
              <w:rPr>
                <w:rFonts w:eastAsia="SimSun"/>
                <w:sz w:val="20"/>
                <w:szCs w:val="20"/>
                <w:lang w:eastAsia="x-none"/>
              </w:rPr>
            </w:pPr>
            <w:r w:rsidRPr="004F5105">
              <w:rPr>
                <w:rFonts w:eastAsia="SimSun"/>
                <w:sz w:val="20"/>
                <w:szCs w:val="20"/>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72779275" w14:textId="4BE06D22" w:rsidR="004F5105" w:rsidRPr="004F5105" w:rsidRDefault="004F5105" w:rsidP="004F5105">
            <w:pPr>
              <w:numPr>
                <w:ilvl w:val="0"/>
                <w:numId w:val="32"/>
              </w:numPr>
              <w:spacing w:after="120" w:line="252" w:lineRule="auto"/>
              <w:rPr>
                <w:rFonts w:eastAsia="SimSun"/>
                <w:sz w:val="20"/>
                <w:szCs w:val="20"/>
              </w:rPr>
            </w:pPr>
            <w:r w:rsidRPr="004F5105">
              <w:rPr>
                <w:rFonts w:eastAsia="SimSun"/>
                <w:sz w:val="20"/>
                <w:szCs w:val="20"/>
              </w:rPr>
              <w:t>Note: GC-PDCCH/PDSCH transmission within a narrower portion of the Initial BWP (</w:t>
            </w:r>
            <w:r w:rsidRPr="004F5105">
              <w:rPr>
                <w:rFonts w:eastAsia="SimSun"/>
                <w:sz w:val="20"/>
                <w:szCs w:val="20"/>
                <w:lang w:eastAsia="x-none"/>
              </w:rPr>
              <w:t>where the initial BWP has the same frequency resources as CORESET0</w:t>
            </w:r>
            <w:r w:rsidRPr="004F5105">
              <w:rPr>
                <w:rFonts w:eastAsia="SimSun"/>
                <w:sz w:val="20"/>
                <w:szCs w:val="20"/>
              </w:rPr>
              <w:t>) is possible by implementation via appropriate scheduling.</w:t>
            </w:r>
          </w:p>
        </w:tc>
      </w:tr>
    </w:tbl>
    <w:p w14:paraId="5EF0413D" w14:textId="76F19FDC" w:rsidR="00845E75" w:rsidRPr="00CA719E" w:rsidRDefault="00CA719E" w:rsidP="000C074D">
      <w:pPr>
        <w:spacing w:before="120" w:after="120"/>
        <w:rPr>
          <w:color w:val="000000"/>
          <w:sz w:val="20"/>
          <w:szCs w:val="20"/>
          <w:lang w:val="en-US"/>
        </w:rPr>
      </w:pPr>
      <w:r w:rsidRPr="00CD3D27">
        <w:rPr>
          <w:b/>
          <w:bCs/>
          <w:color w:val="000000"/>
          <w:sz w:val="20"/>
          <w:szCs w:val="20"/>
          <w:lang w:val="en-US"/>
        </w:rPr>
        <w:lastRenderedPageBreak/>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xml:space="preserve">, if CFR is configured </w:t>
      </w:r>
      <w:r w:rsidRPr="00CA719E">
        <w:rPr>
          <w:rFonts w:ascii="New York" w:eastAsia="SimSun" w:hAnsi="New York"/>
          <w:b/>
          <w:bCs/>
          <w:sz w:val="20"/>
          <w:szCs w:val="20"/>
        </w:rPr>
        <w:t>for group-common PDCCH/PDSCH</w:t>
      </w:r>
      <w:r>
        <w:rPr>
          <w:rFonts w:ascii="New York" w:eastAsia="SimSun" w:hAnsi="New York"/>
          <w:b/>
          <w:bCs/>
          <w:sz w:val="20"/>
          <w:szCs w:val="20"/>
          <w:lang w:val="en-US"/>
        </w:rPr>
        <w:t xml:space="preserve">, the CFR size should be larger than </w:t>
      </w:r>
      <w:r w:rsidR="00FC19E4">
        <w:rPr>
          <w:rFonts w:ascii="New York" w:eastAsia="SimSun" w:hAnsi="New York"/>
          <w:b/>
          <w:bCs/>
          <w:sz w:val="20"/>
          <w:szCs w:val="20"/>
          <w:lang w:val="en-US"/>
        </w:rPr>
        <w:t xml:space="preserve">SIB1 configured </w:t>
      </w:r>
      <w:r>
        <w:rPr>
          <w:rFonts w:ascii="New York" w:eastAsia="SimSun" w:hAnsi="New York"/>
          <w:b/>
          <w:bCs/>
          <w:sz w:val="20"/>
          <w:szCs w:val="20"/>
          <w:lang w:val="en-US"/>
        </w:rPr>
        <w:t>initial BWP, or equal to initial BWP</w:t>
      </w:r>
      <w:r w:rsidR="00FC19E4">
        <w:rPr>
          <w:rFonts w:ascii="New York" w:eastAsia="SimSun" w:hAnsi="New York"/>
          <w:b/>
          <w:bCs/>
          <w:sz w:val="20"/>
          <w:szCs w:val="20"/>
          <w:lang w:val="en-US"/>
        </w:rPr>
        <w:t xml:space="preserve"> configured by SIB1</w:t>
      </w:r>
      <w:r>
        <w:rPr>
          <w:rFonts w:ascii="New York" w:eastAsia="SimSun" w:hAnsi="New York"/>
          <w:b/>
          <w:bCs/>
          <w:sz w:val="20"/>
          <w:szCs w:val="20"/>
          <w:lang w:val="en-US"/>
        </w:rPr>
        <w:t>.</w:t>
      </w:r>
    </w:p>
    <w:p w14:paraId="345CDE33" w14:textId="05423FC9" w:rsidR="004F5105" w:rsidRPr="00CD3D27" w:rsidRDefault="004F5105" w:rsidP="004F5105">
      <w:pPr>
        <w:spacing w:before="120" w:after="120"/>
        <w:rPr>
          <w:b/>
          <w:bCs/>
          <w:color w:val="000000"/>
          <w:sz w:val="20"/>
          <w:szCs w:val="20"/>
          <w:u w:val="single"/>
          <w:lang w:val="en-US"/>
        </w:rPr>
      </w:pPr>
      <w:r>
        <w:rPr>
          <w:b/>
          <w:bCs/>
          <w:color w:val="000000"/>
          <w:sz w:val="20"/>
          <w:szCs w:val="20"/>
          <w:u w:val="single"/>
          <w:lang w:val="en-US"/>
        </w:rPr>
        <w:t>MCCH change notification</w:t>
      </w:r>
    </w:p>
    <w:p w14:paraId="3B43D55B" w14:textId="5CB28CE0" w:rsidR="004F5105" w:rsidRDefault="003F1250" w:rsidP="004F5105">
      <w:pPr>
        <w:spacing w:before="120" w:after="120"/>
        <w:rPr>
          <w:color w:val="000000"/>
          <w:sz w:val="20"/>
          <w:szCs w:val="20"/>
          <w:lang w:val="en-US"/>
        </w:rPr>
      </w:pPr>
      <w:r>
        <w:rPr>
          <w:color w:val="000000"/>
          <w:sz w:val="20"/>
          <w:szCs w:val="20"/>
          <w:lang w:val="en-US"/>
        </w:rPr>
        <w:t>The indication of MCCH change notification was discussed in the last meeting, and</w:t>
      </w:r>
      <w:r w:rsidR="00C92349">
        <w:rPr>
          <w:color w:val="000000"/>
          <w:sz w:val="20"/>
          <w:szCs w:val="20"/>
          <w:lang w:val="en-US"/>
        </w:rPr>
        <w:t xml:space="preserve"> an</w:t>
      </w:r>
      <w:r>
        <w:rPr>
          <w:color w:val="000000"/>
          <w:sz w:val="20"/>
          <w:szCs w:val="20"/>
          <w:lang w:val="en-US"/>
        </w:rPr>
        <w:t xml:space="preserve"> incoming LS</w:t>
      </w:r>
      <w:r w:rsidR="00C92349">
        <w:rPr>
          <w:color w:val="000000"/>
          <w:sz w:val="20"/>
          <w:szCs w:val="20"/>
          <w:lang w:val="en-US"/>
        </w:rPr>
        <w:t xml:space="preserve"> on MCCH design [6] was</w:t>
      </w:r>
      <w:r>
        <w:rPr>
          <w:color w:val="000000"/>
          <w:sz w:val="20"/>
          <w:szCs w:val="20"/>
          <w:lang w:val="en-US"/>
        </w:rPr>
        <w:t xml:space="preserve"> </w:t>
      </w:r>
      <w:r w:rsidR="00C92349">
        <w:rPr>
          <w:color w:val="000000"/>
          <w:sz w:val="20"/>
          <w:szCs w:val="20"/>
          <w:lang w:val="en-US"/>
        </w:rPr>
        <w:t>received. RAN2 latest agreements were captured in the LS. RAN2 expect</w:t>
      </w:r>
      <w:r w:rsidR="002412FD">
        <w:rPr>
          <w:color w:val="000000"/>
          <w:sz w:val="20"/>
          <w:szCs w:val="20"/>
          <w:lang w:val="en-US"/>
        </w:rPr>
        <w:t>s</w:t>
      </w:r>
      <w:r w:rsidR="00C92349">
        <w:rPr>
          <w:color w:val="000000"/>
          <w:sz w:val="20"/>
          <w:szCs w:val="20"/>
          <w:lang w:val="en-US"/>
        </w:rPr>
        <w:t xml:space="preserve"> the MCCH change notification could include the MBS session start and session stop, 2bits are required for each MBS session. For the discussed solutions,    Alt 1 would require a new RNTI and new DCI format. The DCI size could be the issue for Alt 2, if there are multiple MBS sessions and 2 bits for each session. Another possible way is the MCCH change notification is indicated by the MAC CE in MAC PDU of the scheduled MCCH. The benefits are without introducing new DCI format and without impacts on DCI format size.</w:t>
      </w:r>
    </w:p>
    <w:tbl>
      <w:tblPr>
        <w:tblStyle w:val="TableGrid"/>
        <w:tblW w:w="0" w:type="auto"/>
        <w:tblLook w:val="04A0" w:firstRow="1" w:lastRow="0" w:firstColumn="1" w:lastColumn="0" w:noHBand="0" w:noVBand="1"/>
      </w:tblPr>
      <w:tblGrid>
        <w:gridCol w:w="9629"/>
      </w:tblGrid>
      <w:tr w:rsidR="004F5105" w14:paraId="6F68CE94" w14:textId="77777777" w:rsidTr="004F5105">
        <w:tc>
          <w:tcPr>
            <w:tcW w:w="9629" w:type="dxa"/>
          </w:tcPr>
          <w:p w14:paraId="12318462" w14:textId="0FD148DF" w:rsidR="004F5105" w:rsidRPr="004F5105" w:rsidRDefault="004F5105" w:rsidP="004F5105">
            <w:pPr>
              <w:rPr>
                <w:sz w:val="20"/>
                <w:szCs w:val="20"/>
                <w:highlight w:val="green"/>
                <w:lang w:val="en-US" w:eastAsia="x-none"/>
              </w:rPr>
            </w:pPr>
            <w:r w:rsidRPr="004F5105">
              <w:rPr>
                <w:sz w:val="20"/>
                <w:szCs w:val="20"/>
                <w:highlight w:val="green"/>
                <w:lang w:eastAsia="x-none"/>
              </w:rPr>
              <w:t>Agreement</w:t>
            </w:r>
            <w:r w:rsidRPr="004F5105">
              <w:rPr>
                <w:sz w:val="20"/>
                <w:szCs w:val="20"/>
                <w:lang w:eastAsia="x-none"/>
              </w:rPr>
              <w:t>:</w:t>
            </w:r>
            <w:r w:rsidRPr="004F5105">
              <w:rPr>
                <w:sz w:val="20"/>
                <w:szCs w:val="20"/>
                <w:lang w:val="en-US" w:eastAsia="x-none"/>
              </w:rPr>
              <w:t>[5]</w:t>
            </w:r>
          </w:p>
          <w:p w14:paraId="10B06577" w14:textId="77777777" w:rsidR="004F5105" w:rsidRPr="004F5105" w:rsidRDefault="004F5105" w:rsidP="004F5105">
            <w:pPr>
              <w:rPr>
                <w:sz w:val="20"/>
                <w:szCs w:val="20"/>
              </w:rPr>
            </w:pPr>
            <w:r w:rsidRPr="004F5105">
              <w:rPr>
                <w:sz w:val="20"/>
                <w:szCs w:val="20"/>
                <w:lang w:eastAsia="x-none"/>
              </w:rPr>
              <w:t xml:space="preserve">For RRC_IDLE/RRC_INACTIVE UEs, for broadcast reception, study the </w:t>
            </w:r>
            <w:r w:rsidRPr="004F5105">
              <w:rPr>
                <w:sz w:val="20"/>
                <w:szCs w:val="20"/>
              </w:rPr>
              <w:t>following alternatives for MCCH change notification indication due to session start:</w:t>
            </w:r>
          </w:p>
          <w:p w14:paraId="5A31531B" w14:textId="77777777" w:rsidR="004F5105" w:rsidRPr="004F5105" w:rsidRDefault="004F5105" w:rsidP="004F5105">
            <w:pPr>
              <w:numPr>
                <w:ilvl w:val="0"/>
                <w:numId w:val="31"/>
              </w:numPr>
              <w:rPr>
                <w:sz w:val="20"/>
                <w:szCs w:val="20"/>
                <w:lang w:eastAsia="x-none"/>
              </w:rPr>
            </w:pPr>
            <w:r w:rsidRPr="004F5105">
              <w:rPr>
                <w:sz w:val="20"/>
                <w:szCs w:val="20"/>
                <w:lang w:eastAsia="x-none"/>
              </w:rPr>
              <w:t>Alt 1: Define a dedicated RNTI to scramble the CRC of a DCI indicating a MCCH change notification;</w:t>
            </w:r>
          </w:p>
          <w:p w14:paraId="314E1A96" w14:textId="77777777" w:rsidR="004F5105" w:rsidRPr="004F5105" w:rsidRDefault="004F5105" w:rsidP="004F5105">
            <w:pPr>
              <w:numPr>
                <w:ilvl w:val="0"/>
                <w:numId w:val="31"/>
              </w:numPr>
              <w:rPr>
                <w:sz w:val="20"/>
                <w:szCs w:val="20"/>
                <w:lang w:eastAsia="x-none"/>
              </w:rPr>
            </w:pPr>
            <w:r w:rsidRPr="004F5105">
              <w:rPr>
                <w:sz w:val="20"/>
                <w:szCs w:val="20"/>
                <w:lang w:eastAsia="x-none"/>
              </w:rPr>
              <w:t>Alt 2: Use of a field in a DCI format scheduling a MCCH without a dedicated RNTI for MCCH change notification;</w:t>
            </w:r>
          </w:p>
          <w:p w14:paraId="5E7CA8E9" w14:textId="2D0DEF06" w:rsidR="004F5105" w:rsidRPr="004F5105" w:rsidRDefault="004F5105" w:rsidP="004F5105">
            <w:pPr>
              <w:rPr>
                <w:lang w:eastAsia="x-none"/>
              </w:rPr>
            </w:pPr>
            <w:r w:rsidRPr="004F5105">
              <w:rPr>
                <w:sz w:val="20"/>
                <w:szCs w:val="20"/>
                <w:lang w:eastAsia="x-none"/>
              </w:rPr>
              <w:t>Other solutions are not precluded and it is also not precluded whether to support both Alt1 and Alt2.</w:t>
            </w:r>
          </w:p>
        </w:tc>
      </w:tr>
    </w:tbl>
    <w:p w14:paraId="279A90DA" w14:textId="517717D0" w:rsidR="004F5105" w:rsidRPr="004F5105" w:rsidRDefault="004F5105" w:rsidP="004F5105">
      <w:pPr>
        <w:spacing w:before="120" w:after="120"/>
        <w:rPr>
          <w:b/>
          <w:bCs/>
          <w:color w:val="000000"/>
          <w:sz w:val="20"/>
          <w:szCs w:val="20"/>
          <w:lang w:val="en-US"/>
        </w:rPr>
      </w:pPr>
      <w:r w:rsidRPr="004F5105">
        <w:rPr>
          <w:b/>
          <w:bCs/>
          <w:color w:val="000000"/>
          <w:sz w:val="20"/>
          <w:szCs w:val="20"/>
          <w:lang w:val="en-US"/>
        </w:rPr>
        <w:t>Proposal</w:t>
      </w:r>
      <w:r w:rsidR="00FA00F5">
        <w:rPr>
          <w:b/>
          <w:bCs/>
          <w:color w:val="000000"/>
          <w:sz w:val="20"/>
          <w:szCs w:val="20"/>
          <w:lang w:val="en-US"/>
        </w:rPr>
        <w:t xml:space="preserve"> 3</w:t>
      </w:r>
      <w:r w:rsidRPr="004F5105">
        <w:rPr>
          <w:b/>
          <w:bCs/>
          <w:color w:val="000000"/>
          <w:sz w:val="20"/>
          <w:szCs w:val="20"/>
          <w:lang w:val="en-US"/>
        </w:rPr>
        <w:t>:</w:t>
      </w:r>
      <w:r w:rsidR="003F1250">
        <w:rPr>
          <w:b/>
          <w:bCs/>
          <w:color w:val="000000"/>
          <w:sz w:val="20"/>
          <w:szCs w:val="20"/>
          <w:lang w:val="en-US"/>
        </w:rPr>
        <w:t xml:space="preserve"> </w:t>
      </w:r>
      <w:r w:rsidR="003F1250" w:rsidRPr="00BE2F1D">
        <w:rPr>
          <w:b/>
          <w:bCs/>
          <w:color w:val="000000"/>
          <w:sz w:val="20"/>
          <w:szCs w:val="20"/>
          <w:lang w:val="en-US"/>
        </w:rPr>
        <w:t>MCCH change notification is indicated by the MAC CE in MAC PDU</w:t>
      </w:r>
      <w:r w:rsidR="00C92349">
        <w:rPr>
          <w:b/>
          <w:bCs/>
          <w:color w:val="000000"/>
          <w:sz w:val="20"/>
          <w:szCs w:val="20"/>
          <w:lang w:val="en-US"/>
        </w:rPr>
        <w:t xml:space="preserve"> of scheduled MCCH</w:t>
      </w:r>
      <w:r w:rsidR="003F1250" w:rsidRPr="00BE2F1D">
        <w:rPr>
          <w:b/>
          <w:bCs/>
          <w:color w:val="000000"/>
          <w:sz w:val="20"/>
          <w:szCs w:val="20"/>
          <w:lang w:val="en-US"/>
        </w:rPr>
        <w:t xml:space="preserve">, </w:t>
      </w:r>
      <w:r w:rsidR="00C92349">
        <w:rPr>
          <w:b/>
          <w:bCs/>
          <w:color w:val="000000"/>
          <w:sz w:val="20"/>
          <w:szCs w:val="20"/>
          <w:lang w:val="en-US"/>
        </w:rPr>
        <w:t xml:space="preserve">notification </w:t>
      </w:r>
      <w:r w:rsidR="003F1250" w:rsidRPr="00BE2F1D">
        <w:rPr>
          <w:b/>
          <w:bCs/>
          <w:color w:val="000000"/>
          <w:sz w:val="20"/>
          <w:szCs w:val="20"/>
          <w:lang w:val="en-US"/>
        </w:rPr>
        <w:t>includ</w:t>
      </w:r>
      <w:r w:rsidR="00C92349">
        <w:rPr>
          <w:b/>
          <w:bCs/>
          <w:color w:val="000000"/>
          <w:sz w:val="20"/>
          <w:szCs w:val="20"/>
          <w:lang w:val="en-US"/>
        </w:rPr>
        <w:t>es</w:t>
      </w:r>
      <w:r w:rsidR="003F1250" w:rsidRPr="00BE2F1D">
        <w:rPr>
          <w:b/>
          <w:bCs/>
          <w:color w:val="000000"/>
          <w:sz w:val="20"/>
          <w:szCs w:val="20"/>
          <w:lang w:val="en-US"/>
        </w:rPr>
        <w:t xml:space="preserve"> MBS sessions start and MSB sessions stop</w:t>
      </w:r>
      <w:r w:rsidR="00C92349">
        <w:rPr>
          <w:b/>
          <w:bCs/>
          <w:color w:val="000000"/>
          <w:sz w:val="20"/>
          <w:szCs w:val="20"/>
          <w:lang w:val="en-US"/>
        </w:rPr>
        <w:t>.</w:t>
      </w:r>
    </w:p>
    <w:p w14:paraId="476C9B17" w14:textId="2C4702D1" w:rsidR="00203C96" w:rsidRPr="00CD3D27" w:rsidRDefault="002F007E" w:rsidP="00203C96">
      <w:pPr>
        <w:spacing w:before="120" w:after="120"/>
        <w:rPr>
          <w:b/>
          <w:bCs/>
          <w:color w:val="000000"/>
          <w:sz w:val="20"/>
          <w:szCs w:val="20"/>
          <w:u w:val="single"/>
          <w:lang w:val="en-US"/>
        </w:rPr>
      </w:pPr>
      <w:r>
        <w:rPr>
          <w:b/>
          <w:bCs/>
          <w:color w:val="000000"/>
          <w:sz w:val="20"/>
          <w:szCs w:val="20"/>
          <w:u w:val="single"/>
          <w:lang w:val="en-US"/>
        </w:rPr>
        <w:t>Search space</w:t>
      </w:r>
      <w:r w:rsidR="00203C96">
        <w:rPr>
          <w:b/>
          <w:bCs/>
          <w:color w:val="000000"/>
          <w:sz w:val="20"/>
          <w:szCs w:val="20"/>
          <w:u w:val="single"/>
          <w:lang w:val="en-US"/>
        </w:rPr>
        <w:t xml:space="preserve"> for MBS</w:t>
      </w:r>
    </w:p>
    <w:p w14:paraId="5AF26A71" w14:textId="0E1C920A" w:rsidR="00CD3D27" w:rsidRDefault="00466B3F" w:rsidP="000C074D">
      <w:pPr>
        <w:spacing w:before="120" w:after="120"/>
        <w:rPr>
          <w:color w:val="000000"/>
          <w:sz w:val="20"/>
          <w:szCs w:val="20"/>
          <w:lang w:val="en-US"/>
        </w:rPr>
      </w:pPr>
      <w:r>
        <w:rPr>
          <w:color w:val="000000"/>
          <w:sz w:val="20"/>
          <w:szCs w:val="20"/>
          <w:lang w:val="en-US"/>
        </w:rPr>
        <w:t xml:space="preserve">According to current specification, the Common Search Space (CSS) and UE-specific Search space (USS) are supported. </w:t>
      </w:r>
      <w:r w:rsidR="00F150AB">
        <w:rPr>
          <w:color w:val="000000"/>
          <w:sz w:val="20"/>
          <w:szCs w:val="20"/>
          <w:lang w:val="en-US"/>
        </w:rPr>
        <w:t>New type-x CSS will be supported for RRC_CONNECTED UEs, the same search space set could be shared for RRC_CONNECTED UEs and RRC_IDLE/RRC_INACTICE UEs. The issue is whether this type-x CSS is the same as type-3 CSS. The type-3 CSS can support various RNTIs  with corresponding functions. The use cases of type -3 CSS include slot format indication, power control, cancelation indication, etc. Following the same design principle, the CSS of group common PDCCH for MBS could be covered by type 3 CSS as well. The MBS specific search space information could be configured via a dedicated search space ID with specific monitoring periodicity, CORESET, AL, etc.</w:t>
      </w:r>
      <w:r w:rsidR="00203C96">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203C96" w14:paraId="7B93863C" w14:textId="77777777" w:rsidTr="00203C96">
        <w:tc>
          <w:tcPr>
            <w:tcW w:w="9629" w:type="dxa"/>
          </w:tcPr>
          <w:p w14:paraId="7CF20520" w14:textId="5D6E9CE7" w:rsidR="00845E75" w:rsidRPr="00845E75" w:rsidRDefault="002F007E" w:rsidP="002F007E">
            <w:pPr>
              <w:overflowPunct w:val="0"/>
              <w:autoSpaceDE w:val="0"/>
              <w:autoSpaceDN w:val="0"/>
              <w:spacing w:after="120"/>
              <w:rPr>
                <w:sz w:val="20"/>
                <w:szCs w:val="20"/>
                <w:lang w:val="en-GB"/>
              </w:rPr>
            </w:pPr>
            <w:r w:rsidRPr="002E7FD6">
              <w:rPr>
                <w:sz w:val="20"/>
                <w:szCs w:val="20"/>
                <w:highlight w:val="green"/>
                <w:lang w:val="en-GB"/>
              </w:rPr>
              <w:t>Agreements</w:t>
            </w:r>
            <w:r w:rsidRPr="002E7FD6">
              <w:rPr>
                <w:b/>
                <w:bCs/>
                <w:sz w:val="20"/>
                <w:szCs w:val="20"/>
                <w:lang w:val="en-GB"/>
              </w:rPr>
              <w:t>:</w:t>
            </w:r>
            <w:r w:rsidR="00845E75">
              <w:rPr>
                <w:b/>
                <w:bCs/>
                <w:sz w:val="20"/>
                <w:szCs w:val="20"/>
                <w:lang w:val="en-GB"/>
              </w:rPr>
              <w:t xml:space="preserve"> </w:t>
            </w:r>
            <w:r w:rsidR="00845E75" w:rsidRPr="00845E75">
              <w:rPr>
                <w:sz w:val="20"/>
                <w:szCs w:val="20"/>
                <w:lang w:val="en-GB"/>
              </w:rPr>
              <w:t>[4]</w:t>
            </w:r>
          </w:p>
          <w:p w14:paraId="01803DF1" w14:textId="55CB8D21" w:rsidR="002F007E" w:rsidRPr="002E7FD6" w:rsidRDefault="002F007E" w:rsidP="002F007E">
            <w:pPr>
              <w:overflowPunct w:val="0"/>
              <w:autoSpaceDE w:val="0"/>
              <w:autoSpaceDN w:val="0"/>
              <w:spacing w:after="120"/>
              <w:rPr>
                <w:sz w:val="20"/>
                <w:szCs w:val="20"/>
                <w:lang w:val="en-GB"/>
              </w:rPr>
            </w:pPr>
            <w:r w:rsidRPr="002E7FD6">
              <w:rPr>
                <w:b/>
                <w:bCs/>
                <w:sz w:val="20"/>
                <w:szCs w:val="20"/>
                <w:lang w:val="en-GB"/>
              </w:rPr>
              <w:t xml:space="preserve"> </w:t>
            </w:r>
            <w:r w:rsidRPr="002E7FD6">
              <w:rPr>
                <w:sz w:val="20"/>
                <w:szCs w:val="20"/>
                <w:lang w:val="en-GB"/>
              </w:rPr>
              <w:t xml:space="preserve">For RRC_IDLE/RRC_INACTIVE UEs, CSS is supported for </w:t>
            </w:r>
            <w:proofErr w:type="gramStart"/>
            <w:r w:rsidRPr="002E7FD6">
              <w:rPr>
                <w:sz w:val="20"/>
                <w:szCs w:val="20"/>
                <w:lang w:val="en-GB"/>
              </w:rPr>
              <w:t>group-common</w:t>
            </w:r>
            <w:proofErr w:type="gramEnd"/>
            <w:r w:rsidRPr="002E7FD6">
              <w:rPr>
                <w:sz w:val="20"/>
                <w:szCs w:val="20"/>
                <w:lang w:val="en-GB"/>
              </w:rPr>
              <w:t xml:space="preserve"> PDCCH.</w:t>
            </w:r>
          </w:p>
          <w:p w14:paraId="2FD4F0D0" w14:textId="77777777" w:rsidR="002F007E" w:rsidRPr="002E7FD6" w:rsidRDefault="002F007E" w:rsidP="002F007E">
            <w:pPr>
              <w:numPr>
                <w:ilvl w:val="0"/>
                <w:numId w:val="17"/>
              </w:numPr>
              <w:overflowPunct w:val="0"/>
              <w:autoSpaceDE w:val="0"/>
              <w:autoSpaceDN w:val="0"/>
              <w:spacing w:after="180"/>
              <w:rPr>
                <w:sz w:val="20"/>
                <w:szCs w:val="20"/>
                <w:lang w:val="en-GB"/>
              </w:rPr>
            </w:pPr>
            <w:r w:rsidRPr="002E7FD6">
              <w:rPr>
                <w:sz w:val="20"/>
                <w:szCs w:val="20"/>
                <w:lang w:val="en-GB"/>
              </w:rPr>
              <w:t>FFS: reuse current CSS type, define a new CSS type, etc.</w:t>
            </w:r>
          </w:p>
          <w:p w14:paraId="62AF566D" w14:textId="430936FE" w:rsidR="00203C96" w:rsidRPr="004B3117" w:rsidRDefault="002F007E" w:rsidP="004B3117">
            <w:pPr>
              <w:numPr>
                <w:ilvl w:val="0"/>
                <w:numId w:val="17"/>
              </w:numPr>
              <w:overflowPunct w:val="0"/>
              <w:autoSpaceDE w:val="0"/>
              <w:autoSpaceDN w:val="0"/>
              <w:spacing w:after="180"/>
              <w:rPr>
                <w:sz w:val="20"/>
                <w:szCs w:val="20"/>
                <w:lang w:val="en-GB"/>
              </w:rPr>
            </w:pPr>
            <w:r w:rsidRPr="002E7FD6">
              <w:rPr>
                <w:sz w:val="20"/>
                <w:szCs w:val="20"/>
                <w:lang w:val="en-GB"/>
              </w:rPr>
              <w:t>FFS other details.</w:t>
            </w:r>
          </w:p>
        </w:tc>
      </w:tr>
    </w:tbl>
    <w:p w14:paraId="0A05C5BD" w14:textId="7AD27429" w:rsidR="004B3117" w:rsidRPr="004C681D" w:rsidRDefault="004B3117" w:rsidP="004B3117">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w:t>
      </w:r>
      <w:r w:rsidR="00FA00F5">
        <w:rPr>
          <w:rFonts w:eastAsia="SimSun"/>
          <w:b/>
          <w:bCs/>
          <w:sz w:val="20"/>
          <w:szCs w:val="20"/>
          <w:lang w:val="en-US"/>
        </w:rPr>
        <w:t>4</w:t>
      </w:r>
      <w:r>
        <w:rPr>
          <w:rFonts w:eastAsia="SimSun"/>
          <w:b/>
          <w:bCs/>
          <w:sz w:val="20"/>
          <w:szCs w:val="20"/>
          <w:lang w:val="en-US"/>
        </w:rPr>
        <w:t>:</w:t>
      </w:r>
      <w:r w:rsidR="00F150AB">
        <w:rPr>
          <w:rFonts w:eastAsia="SimSun"/>
          <w:b/>
          <w:bCs/>
          <w:sz w:val="20"/>
          <w:szCs w:val="20"/>
          <w:lang w:val="en-US"/>
        </w:rPr>
        <w:t xml:space="preserve"> T</w:t>
      </w:r>
      <w:r w:rsidR="00F150AB">
        <w:rPr>
          <w:b/>
          <w:bCs/>
          <w:sz w:val="20"/>
          <w:szCs w:val="20"/>
          <w:lang w:val="en-US"/>
        </w:rPr>
        <w:t>ype-3 CSS set is used for MBS group common PDCCH monitoring</w:t>
      </w:r>
      <w:r>
        <w:rPr>
          <w:b/>
          <w:bCs/>
          <w:sz w:val="20"/>
          <w:szCs w:val="20"/>
          <w:lang w:val="en-US"/>
        </w:rPr>
        <w:t>.</w:t>
      </w:r>
    </w:p>
    <w:p w14:paraId="1DE6452F" w14:textId="77777777" w:rsidR="00D12367" w:rsidRDefault="00D12367" w:rsidP="00D12367">
      <w:pPr>
        <w:pStyle w:val="Heading1"/>
      </w:pPr>
      <w:r>
        <w:lastRenderedPageBreak/>
        <w:t>Summary</w:t>
      </w:r>
    </w:p>
    <w:p w14:paraId="25F8D0AD" w14:textId="2FEAA2C3"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4F9E3B1B" w14:textId="77777777" w:rsidR="002412FD" w:rsidRPr="00CA6B2B" w:rsidRDefault="002412FD" w:rsidP="002412FD">
      <w:pPr>
        <w:spacing w:before="120" w:after="120"/>
        <w:rPr>
          <w:b/>
          <w:bCs/>
          <w:color w:val="000000"/>
          <w:sz w:val="20"/>
          <w:szCs w:val="20"/>
          <w:lang w:val="en-US"/>
        </w:rPr>
      </w:pPr>
      <w:r w:rsidRPr="00CD3D27">
        <w:rPr>
          <w:b/>
          <w:bCs/>
          <w:color w:val="000000"/>
          <w:sz w:val="20"/>
          <w:szCs w:val="20"/>
          <w:lang w:val="en-US"/>
        </w:rPr>
        <w:t>Proposal 1:</w:t>
      </w:r>
      <w:r>
        <w:rPr>
          <w:b/>
          <w:bCs/>
          <w:color w:val="000000"/>
          <w:sz w:val="20"/>
          <w:szCs w:val="20"/>
          <w:lang w:val="en-US"/>
        </w:rPr>
        <w:t xml:space="preserve"> </w:t>
      </w:r>
      <w:r w:rsidRPr="004C7581">
        <w:rPr>
          <w:b/>
          <w:bCs/>
          <w:color w:val="000000"/>
          <w:sz w:val="20"/>
          <w:szCs w:val="20"/>
          <w:lang w:val="en-US"/>
        </w:rPr>
        <w:t xml:space="preserve">Support </w:t>
      </w:r>
      <w:proofErr w:type="spellStart"/>
      <w:r w:rsidRPr="004C7581">
        <w:rPr>
          <w:b/>
          <w:bCs/>
          <w:color w:val="000000"/>
          <w:sz w:val="20"/>
          <w:szCs w:val="20"/>
          <w:lang w:val="en-US"/>
        </w:rPr>
        <w:t>RedCap</w:t>
      </w:r>
      <w:proofErr w:type="spellEnd"/>
      <w:r w:rsidRPr="004C7581">
        <w:rPr>
          <w:b/>
          <w:bCs/>
          <w:color w:val="000000"/>
          <w:sz w:val="20"/>
          <w:szCs w:val="20"/>
          <w:lang w:val="en-US"/>
        </w:rPr>
        <w:t xml:space="preserve"> UE receives MBS broadcast service</w:t>
      </w:r>
      <w:r>
        <w:rPr>
          <w:b/>
          <w:bCs/>
          <w:color w:val="000000"/>
          <w:sz w:val="20"/>
          <w:szCs w:val="20"/>
          <w:lang w:val="en-US"/>
        </w:rPr>
        <w:t>.</w:t>
      </w:r>
    </w:p>
    <w:p w14:paraId="4A408AED" w14:textId="77777777" w:rsidR="002412FD" w:rsidRPr="00CA719E" w:rsidRDefault="002412FD" w:rsidP="002412FD">
      <w:pPr>
        <w:spacing w:before="120" w:after="120"/>
        <w:rPr>
          <w:color w:val="000000"/>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w:t>
      </w:r>
      <w:r>
        <w:rPr>
          <w:rFonts w:ascii="New York" w:eastAsia="SimSun" w:hAnsi="New York"/>
          <w:b/>
          <w:bCs/>
          <w:sz w:val="20"/>
          <w:szCs w:val="20"/>
          <w:lang w:val="en-US"/>
        </w:rPr>
        <w:t xml:space="preserve">, if CFR is configured </w:t>
      </w:r>
      <w:r w:rsidRPr="00CA719E">
        <w:rPr>
          <w:rFonts w:ascii="New York" w:eastAsia="SimSun" w:hAnsi="New York"/>
          <w:b/>
          <w:bCs/>
          <w:sz w:val="20"/>
          <w:szCs w:val="20"/>
        </w:rPr>
        <w:t>for group-common PDCCH/PDSCH</w:t>
      </w:r>
      <w:r>
        <w:rPr>
          <w:rFonts w:ascii="New York" w:eastAsia="SimSun" w:hAnsi="New York"/>
          <w:b/>
          <w:bCs/>
          <w:sz w:val="20"/>
          <w:szCs w:val="20"/>
          <w:lang w:val="en-US"/>
        </w:rPr>
        <w:t>, the CFR size should be larger than SIB1 configured initial BWP, or equal to initial BWP configured by SIB1.</w:t>
      </w:r>
    </w:p>
    <w:p w14:paraId="145DD1FF" w14:textId="3E27E3D7" w:rsidR="002412FD" w:rsidRDefault="002412FD" w:rsidP="002412FD">
      <w:pPr>
        <w:spacing w:before="120" w:after="120"/>
        <w:rPr>
          <w:b/>
          <w:bCs/>
          <w:color w:val="000000"/>
          <w:sz w:val="20"/>
          <w:szCs w:val="20"/>
          <w:lang w:val="en-US"/>
        </w:rPr>
      </w:pPr>
      <w:r w:rsidRPr="004F5105">
        <w:rPr>
          <w:b/>
          <w:bCs/>
          <w:color w:val="000000"/>
          <w:sz w:val="20"/>
          <w:szCs w:val="20"/>
          <w:lang w:val="en-US"/>
        </w:rPr>
        <w:t>Proposal</w:t>
      </w:r>
      <w:r>
        <w:rPr>
          <w:b/>
          <w:bCs/>
          <w:color w:val="000000"/>
          <w:sz w:val="20"/>
          <w:szCs w:val="20"/>
          <w:lang w:val="en-US"/>
        </w:rPr>
        <w:t xml:space="preserve"> 3</w:t>
      </w:r>
      <w:r w:rsidRPr="004F5105">
        <w:rPr>
          <w:b/>
          <w:bCs/>
          <w:color w:val="000000"/>
          <w:sz w:val="20"/>
          <w:szCs w:val="20"/>
          <w:lang w:val="en-US"/>
        </w:rPr>
        <w:t>:</w:t>
      </w:r>
      <w:r>
        <w:rPr>
          <w:b/>
          <w:bCs/>
          <w:color w:val="000000"/>
          <w:sz w:val="20"/>
          <w:szCs w:val="20"/>
          <w:lang w:val="en-US"/>
        </w:rPr>
        <w:t xml:space="preserve"> </w:t>
      </w:r>
      <w:r w:rsidRPr="00BE2F1D">
        <w:rPr>
          <w:b/>
          <w:bCs/>
          <w:color w:val="000000"/>
          <w:sz w:val="20"/>
          <w:szCs w:val="20"/>
          <w:lang w:val="en-US"/>
        </w:rPr>
        <w:t>MCCH change notification is indicated by the MAC CE in MAC PDU</w:t>
      </w:r>
      <w:r>
        <w:rPr>
          <w:b/>
          <w:bCs/>
          <w:color w:val="000000"/>
          <w:sz w:val="20"/>
          <w:szCs w:val="20"/>
          <w:lang w:val="en-US"/>
        </w:rPr>
        <w:t xml:space="preserve"> of scheduled MCCH</w:t>
      </w:r>
      <w:r w:rsidRPr="00BE2F1D">
        <w:rPr>
          <w:b/>
          <w:bCs/>
          <w:color w:val="000000"/>
          <w:sz w:val="20"/>
          <w:szCs w:val="20"/>
          <w:lang w:val="en-US"/>
        </w:rPr>
        <w:t xml:space="preserve">, </w:t>
      </w:r>
      <w:r>
        <w:rPr>
          <w:b/>
          <w:bCs/>
          <w:color w:val="000000"/>
          <w:sz w:val="20"/>
          <w:szCs w:val="20"/>
          <w:lang w:val="en-US"/>
        </w:rPr>
        <w:t xml:space="preserve">notification </w:t>
      </w:r>
      <w:r w:rsidRPr="00BE2F1D">
        <w:rPr>
          <w:b/>
          <w:bCs/>
          <w:color w:val="000000"/>
          <w:sz w:val="20"/>
          <w:szCs w:val="20"/>
          <w:lang w:val="en-US"/>
        </w:rPr>
        <w:t>includ</w:t>
      </w:r>
      <w:r>
        <w:rPr>
          <w:b/>
          <w:bCs/>
          <w:color w:val="000000"/>
          <w:sz w:val="20"/>
          <w:szCs w:val="20"/>
          <w:lang w:val="en-US"/>
        </w:rPr>
        <w:t>es</w:t>
      </w:r>
      <w:r w:rsidRPr="00BE2F1D">
        <w:rPr>
          <w:b/>
          <w:bCs/>
          <w:color w:val="000000"/>
          <w:sz w:val="20"/>
          <w:szCs w:val="20"/>
          <w:lang w:val="en-US"/>
        </w:rPr>
        <w:t xml:space="preserve"> MBS sessions start and MSB sessions stop</w:t>
      </w:r>
      <w:r>
        <w:rPr>
          <w:b/>
          <w:bCs/>
          <w:color w:val="000000"/>
          <w:sz w:val="20"/>
          <w:szCs w:val="20"/>
          <w:lang w:val="en-US"/>
        </w:rPr>
        <w:t>.</w:t>
      </w:r>
    </w:p>
    <w:p w14:paraId="1B5C9370" w14:textId="57A6A593" w:rsidR="002412FD" w:rsidRPr="004F5105" w:rsidRDefault="002412FD" w:rsidP="002412FD">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4: T</w:t>
      </w:r>
      <w:r>
        <w:rPr>
          <w:b/>
          <w:bCs/>
          <w:sz w:val="20"/>
          <w:szCs w:val="20"/>
          <w:lang w:val="en-US"/>
        </w:rPr>
        <w:t>ype-3 CSS set is used for MBS group common PDCCH monitoring.</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657952F8" w:rsidR="00120E8E" w:rsidRPr="00C5330E"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7A70CF0E" w14:textId="1FA23D56" w:rsidR="00C5330E" w:rsidRPr="00C5330E" w:rsidRDefault="00C5330E" w:rsidP="00C5330E">
      <w:pPr>
        <w:widowControl w:val="0"/>
        <w:numPr>
          <w:ilvl w:val="0"/>
          <w:numId w:val="5"/>
        </w:numPr>
        <w:jc w:val="both"/>
        <w:rPr>
          <w:sz w:val="20"/>
          <w:szCs w:val="20"/>
          <w:lang w:val="en-GB"/>
        </w:rPr>
      </w:pPr>
      <w:r w:rsidRPr="00AF0BF8">
        <w:rPr>
          <w:sz w:val="20"/>
          <w:szCs w:val="20"/>
          <w:lang w:val="en-GB"/>
        </w:rPr>
        <w:t>R1-2102281</w:t>
      </w:r>
      <w:r w:rsidRPr="008733FD">
        <w:rPr>
          <w:sz w:val="20"/>
          <w:szCs w:val="20"/>
        </w:rPr>
        <w:t>, “</w:t>
      </w:r>
      <w:r w:rsidRPr="00AF0BF8">
        <w:rPr>
          <w:sz w:val="20"/>
          <w:szCs w:val="20"/>
          <w:lang w:val="en-GB"/>
        </w:rPr>
        <w:t>Report of RAN1#104-e meeting</w:t>
      </w:r>
      <w:r w:rsidRPr="008733FD">
        <w:rPr>
          <w:sz w:val="20"/>
          <w:szCs w:val="20"/>
        </w:rPr>
        <w:t xml:space="preserve">”, </w:t>
      </w:r>
      <w:r w:rsidRPr="00AF0BF8">
        <w:rPr>
          <w:sz w:val="20"/>
          <w:szCs w:val="20"/>
          <w:lang w:val="en-US"/>
        </w:rPr>
        <w:t>ETSI MCC</w:t>
      </w:r>
    </w:p>
    <w:p w14:paraId="6C5FCA6B" w14:textId="1FED9FEF" w:rsidR="004C7581" w:rsidRPr="004C7581" w:rsidRDefault="004C7581" w:rsidP="00120E8E">
      <w:pPr>
        <w:widowControl w:val="0"/>
        <w:numPr>
          <w:ilvl w:val="0"/>
          <w:numId w:val="5"/>
        </w:numPr>
        <w:jc w:val="both"/>
        <w:rPr>
          <w:sz w:val="20"/>
          <w:szCs w:val="20"/>
        </w:rPr>
      </w:pPr>
      <w:r w:rsidRPr="004C7581">
        <w:rPr>
          <w:bCs/>
          <w:sz w:val="20"/>
          <w:szCs w:val="20"/>
          <w:lang w:val="en-GB"/>
        </w:rPr>
        <w:t>RP-210873,</w:t>
      </w:r>
      <w:r>
        <w:rPr>
          <w:b/>
          <w:sz w:val="20"/>
          <w:szCs w:val="20"/>
          <w:lang w:val="en-GB"/>
        </w:rPr>
        <w:t xml:space="preserve"> “</w:t>
      </w:r>
      <w:r w:rsidRPr="004C7581">
        <w:rPr>
          <w:sz w:val="20"/>
          <w:szCs w:val="20"/>
          <w:lang w:val="en-GB"/>
        </w:rPr>
        <w:t>New WID on support of reduced capability NR devices</w:t>
      </w:r>
      <w:r>
        <w:rPr>
          <w:sz w:val="20"/>
          <w:szCs w:val="20"/>
          <w:lang w:val="en-GB"/>
        </w:rPr>
        <w:t>”, Ericsson, Nokia</w:t>
      </w:r>
    </w:p>
    <w:p w14:paraId="6097A96F" w14:textId="730CFED4" w:rsidR="003512F3" w:rsidRPr="00BE2F1D"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B96E9D">
        <w:rPr>
          <w:sz w:val="20"/>
          <w:szCs w:val="20"/>
          <w:lang w:val="en-US"/>
        </w:rPr>
        <w:t>1</w:t>
      </w:r>
      <w:r w:rsidRPr="0050157E">
        <w:rPr>
          <w:sz w:val="20"/>
          <w:szCs w:val="20"/>
        </w:rPr>
        <w:t>00</w:t>
      </w:r>
      <w:r w:rsidR="00B96E9D">
        <w:rPr>
          <w:sz w:val="20"/>
          <w:szCs w:val="20"/>
          <w:lang w:val="en-US"/>
        </w:rPr>
        <w:t>0</w:t>
      </w:r>
      <w:r w:rsidRPr="0050157E">
        <w:rPr>
          <w:sz w:val="20"/>
          <w:szCs w:val="20"/>
        </w:rPr>
        <w:t>01</w:t>
      </w:r>
      <w:r w:rsidRPr="009900A3">
        <w:rPr>
          <w:sz w:val="20"/>
          <w:szCs w:val="20"/>
          <w:lang w:val="en-US"/>
        </w:rPr>
        <w:t>, “Report of RAN1#10</w:t>
      </w:r>
      <w:r w:rsidR="00B96E9D">
        <w:rPr>
          <w:sz w:val="20"/>
          <w:szCs w:val="20"/>
          <w:lang w:val="en-US"/>
        </w:rPr>
        <w:t>3</w:t>
      </w:r>
      <w:r w:rsidRPr="009900A3">
        <w:rPr>
          <w:sz w:val="20"/>
          <w:szCs w:val="20"/>
          <w:lang w:val="en-US"/>
        </w:rPr>
        <w:t>-e meeting”, ETSI MCC</w:t>
      </w:r>
    </w:p>
    <w:p w14:paraId="4506CFDF" w14:textId="51C93847" w:rsidR="00BE2F1D" w:rsidRDefault="00BE2F1D" w:rsidP="00BE2F1D">
      <w:pPr>
        <w:widowControl w:val="0"/>
        <w:numPr>
          <w:ilvl w:val="0"/>
          <w:numId w:val="5"/>
        </w:numPr>
        <w:jc w:val="both"/>
        <w:rPr>
          <w:sz w:val="20"/>
          <w:szCs w:val="20"/>
          <w:lang w:val="en-GB"/>
        </w:rPr>
      </w:pPr>
      <w:r w:rsidRPr="00B76546">
        <w:rPr>
          <w:sz w:val="20"/>
          <w:szCs w:val="20"/>
          <w:lang w:val="en-GB"/>
        </w:rPr>
        <w:t>R1-2106402, “Report of RAN1#105-e meeting”, ETSI MCC</w:t>
      </w:r>
    </w:p>
    <w:p w14:paraId="2F80EE0F" w14:textId="56949F31" w:rsidR="00BE2F1D" w:rsidRPr="00C74AF5" w:rsidRDefault="00BE2F1D" w:rsidP="00BE2F1D">
      <w:pPr>
        <w:widowControl w:val="0"/>
        <w:numPr>
          <w:ilvl w:val="0"/>
          <w:numId w:val="5"/>
        </w:numPr>
        <w:jc w:val="both"/>
        <w:rPr>
          <w:sz w:val="20"/>
          <w:szCs w:val="20"/>
          <w:lang w:val="en-GB"/>
        </w:rPr>
      </w:pPr>
      <w:r w:rsidRPr="00B76546">
        <w:rPr>
          <w:sz w:val="20"/>
          <w:szCs w:val="20"/>
          <w:lang w:val="en-GB"/>
        </w:rPr>
        <w:t>R1-21064</w:t>
      </w:r>
      <w:r>
        <w:rPr>
          <w:sz w:val="20"/>
          <w:szCs w:val="20"/>
          <w:lang w:val="en-GB"/>
        </w:rPr>
        <w:t>10, “</w:t>
      </w:r>
      <w:r w:rsidRPr="00BE2F1D">
        <w:rPr>
          <w:sz w:val="20"/>
          <w:szCs w:val="20"/>
          <w:lang w:val="en-GB"/>
        </w:rPr>
        <w:t>LS on update for MCCH design</w:t>
      </w:r>
      <w:r>
        <w:rPr>
          <w:sz w:val="20"/>
          <w:szCs w:val="20"/>
          <w:lang w:val="en-GB"/>
        </w:rPr>
        <w:t>”, RAN2</w:t>
      </w:r>
    </w:p>
    <w:p w14:paraId="3578F461" w14:textId="7C43EAFA" w:rsidR="004C7581" w:rsidRDefault="004C7581" w:rsidP="004C7581">
      <w:pPr>
        <w:widowControl w:val="0"/>
        <w:jc w:val="both"/>
        <w:rPr>
          <w:sz w:val="20"/>
          <w:szCs w:val="20"/>
          <w:lang w:val="en-US"/>
        </w:rPr>
      </w:pPr>
    </w:p>
    <w:p w14:paraId="4193E8F5" w14:textId="48DC8EAE" w:rsidR="003512F3" w:rsidRDefault="003512F3" w:rsidP="003512F3">
      <w:pPr>
        <w:widowControl w:val="0"/>
        <w:ind w:left="420"/>
        <w:jc w:val="both"/>
        <w:rPr>
          <w:sz w:val="20"/>
          <w:szCs w:val="20"/>
        </w:rPr>
      </w:pPr>
    </w:p>
    <w:bookmarkEnd w:id="4"/>
    <w:bookmarkEnd w:id="5"/>
    <w:p w14:paraId="7AB01B72" w14:textId="77777777" w:rsidR="007539D6" w:rsidRDefault="007539D6" w:rsidP="007539D6">
      <w:pPr>
        <w:rPr>
          <w:rFonts w:eastAsia="MS Mincho"/>
          <w:szCs w:val="20"/>
          <w:lang w:eastAsia="ja-JP"/>
        </w:rPr>
      </w:pPr>
    </w:p>
    <w:p w14:paraId="7BD16587" w14:textId="055EED92" w:rsidR="009B5204" w:rsidRPr="002E7FD6" w:rsidRDefault="009B5204" w:rsidP="009B5204">
      <w:pPr>
        <w:pStyle w:val="BodyText"/>
        <w:rPr>
          <w:rFonts w:eastAsia="SimSun"/>
          <w:sz w:val="20"/>
          <w:szCs w:val="20"/>
          <w:lang w:val="en-GB"/>
        </w:rPr>
      </w:pPr>
    </w:p>
    <w:sectPr w:rsidR="009B5204" w:rsidRPr="002E7FD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EF6BB" w14:textId="77777777" w:rsidR="005B73B7" w:rsidRDefault="005B73B7">
      <w:r>
        <w:separator/>
      </w:r>
    </w:p>
  </w:endnote>
  <w:endnote w:type="continuationSeparator" w:id="0">
    <w:p w14:paraId="2FA53DE2" w14:textId="77777777" w:rsidR="005B73B7" w:rsidRDefault="005B73B7">
      <w:r>
        <w:continuationSeparator/>
      </w:r>
    </w:p>
  </w:endnote>
  <w:endnote w:type="continuationNotice" w:id="1">
    <w:p w14:paraId="5036BBF8" w14:textId="77777777" w:rsidR="005B73B7" w:rsidRDefault="005B7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6B57A" w14:textId="77777777" w:rsidR="005B73B7" w:rsidRDefault="005B73B7">
      <w:r>
        <w:separator/>
      </w:r>
    </w:p>
  </w:footnote>
  <w:footnote w:type="continuationSeparator" w:id="0">
    <w:p w14:paraId="652E3681" w14:textId="77777777" w:rsidR="005B73B7" w:rsidRDefault="005B73B7">
      <w:r>
        <w:continuationSeparator/>
      </w:r>
    </w:p>
  </w:footnote>
  <w:footnote w:type="continuationNotice" w:id="1">
    <w:p w14:paraId="1920010B" w14:textId="77777777" w:rsidR="005B73B7" w:rsidRDefault="005B7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9"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A787F"/>
    <w:multiLevelType w:val="hybridMultilevel"/>
    <w:tmpl w:val="33F8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4"/>
  </w:num>
  <w:num w:numId="2">
    <w:abstractNumId w:val="13"/>
  </w:num>
  <w:num w:numId="3">
    <w:abstractNumId w:val="15"/>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6"/>
  </w:num>
  <w:num w:numId="8">
    <w:abstractNumId w:val="18"/>
  </w:num>
  <w:num w:numId="9">
    <w:abstractNumId w:val="6"/>
  </w:num>
  <w:num w:numId="10">
    <w:abstractNumId w:val="10"/>
  </w:num>
  <w:num w:numId="11">
    <w:abstractNumId w:val="21"/>
  </w:num>
  <w:num w:numId="12">
    <w:abstractNumId w:val="22"/>
  </w:num>
  <w:num w:numId="13">
    <w:abstractNumId w:val="24"/>
  </w:num>
  <w:num w:numId="14">
    <w:abstractNumId w:val="0"/>
  </w:num>
  <w:num w:numId="15">
    <w:abstractNumId w:val="3"/>
  </w:num>
  <w:num w:numId="16">
    <w:abstractNumId w:val="24"/>
  </w:num>
  <w:num w:numId="17">
    <w:abstractNumId w:val="23"/>
  </w:num>
  <w:num w:numId="18">
    <w:abstractNumId w:val="29"/>
  </w:num>
  <w:num w:numId="19">
    <w:abstractNumId w:val="19"/>
  </w:num>
  <w:num w:numId="20">
    <w:abstractNumId w:val="17"/>
  </w:num>
  <w:num w:numId="21">
    <w:abstractNumId w:val="7"/>
  </w:num>
  <w:num w:numId="22">
    <w:abstractNumId w:val="4"/>
  </w:num>
  <w:num w:numId="23">
    <w:abstractNumId w:val="12"/>
  </w:num>
  <w:num w:numId="24">
    <w:abstractNumId w:val="30"/>
  </w:num>
  <w:num w:numId="25">
    <w:abstractNumId w:val="2"/>
  </w:num>
  <w:num w:numId="26">
    <w:abstractNumId w:val="28"/>
  </w:num>
  <w:num w:numId="27">
    <w:abstractNumId w:val="27"/>
  </w:num>
  <w:num w:numId="28">
    <w:abstractNumId w:val="16"/>
  </w:num>
  <w:num w:numId="29">
    <w:abstractNumId w:val="25"/>
  </w:num>
  <w:num w:numId="30">
    <w:abstractNumId w:val="20"/>
  </w:num>
  <w:num w:numId="31">
    <w:abstractNumId w:val="5"/>
  </w:num>
  <w:num w:numId="32">
    <w:abstractNumId w:val="8"/>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53C"/>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83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2D87"/>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B0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A28"/>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BAB"/>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3DD"/>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2FD"/>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A0"/>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F1"/>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25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75C"/>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D8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81"/>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105"/>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4DB"/>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3B7"/>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67F"/>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2D7F"/>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E75"/>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31C"/>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E85"/>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EDC"/>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DAC"/>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DF3"/>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3B0"/>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0A8A"/>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CF9"/>
    <w:rsid w:val="00BE1D45"/>
    <w:rsid w:val="00BE227B"/>
    <w:rsid w:val="00BE269D"/>
    <w:rsid w:val="00BE28FE"/>
    <w:rsid w:val="00BE2F1D"/>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5F5B"/>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0E"/>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2D"/>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49"/>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2B"/>
    <w:rsid w:val="00CA6B40"/>
    <w:rsid w:val="00CA6BDE"/>
    <w:rsid w:val="00CA6D3D"/>
    <w:rsid w:val="00CA6DEB"/>
    <w:rsid w:val="00CA719E"/>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DD2"/>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06D"/>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0AB"/>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EEE"/>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0F5"/>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9E4"/>
    <w:rsid w:val="00FC1A3C"/>
    <w:rsid w:val="00FC2022"/>
    <w:rsid w:val="00FC2075"/>
    <w:rsid w:val="00FC22FE"/>
    <w:rsid w:val="00FC23FA"/>
    <w:rsid w:val="00FC254B"/>
    <w:rsid w:val="00FC272A"/>
    <w:rsid w:val="00FC2742"/>
    <w:rsid w:val="00FC27DB"/>
    <w:rsid w:val="00FC330F"/>
    <w:rsid w:val="00FC37F0"/>
    <w:rsid w:val="00FC398D"/>
    <w:rsid w:val="00FC3AEF"/>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737"/>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7899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208</TotalTime>
  <Pages>5</Pages>
  <Words>1935</Words>
  <Characters>11033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44</cp:revision>
  <cp:lastPrinted>2019-08-16T17:50:00Z</cp:lastPrinted>
  <dcterms:created xsi:type="dcterms:W3CDTF">2021-01-16T07:11:00Z</dcterms:created>
  <dcterms:modified xsi:type="dcterms:W3CDTF">2021-08-06T14:45:00Z</dcterms:modified>
  <cp:category/>
</cp:coreProperties>
</file>